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E13CDA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8C4D75" w:rsidRPr="008C4D75" w:rsidRDefault="008C4D75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C4D75">
        <w:rPr>
          <w:rFonts w:ascii="Times New Roman" w:hAnsi="Times New Roman"/>
          <w:sz w:val="20"/>
          <w:szCs w:val="20"/>
        </w:rPr>
        <w:t>(в редакции приказов Управления финансов г. Сарапула</w:t>
      </w:r>
    </w:p>
    <w:p w:rsidR="008C4D75" w:rsidRPr="008C4D75" w:rsidRDefault="008C4D75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C4D75">
        <w:rPr>
          <w:rFonts w:ascii="Times New Roman" w:hAnsi="Times New Roman"/>
          <w:sz w:val="20"/>
          <w:szCs w:val="20"/>
        </w:rPr>
        <w:t>от 20.05.2016 г. №63, от 28.07.2016 г. №111</w:t>
      </w:r>
      <w:r w:rsidR="008F34A1">
        <w:rPr>
          <w:rFonts w:ascii="Times New Roman" w:hAnsi="Times New Roman"/>
          <w:sz w:val="20"/>
          <w:szCs w:val="20"/>
        </w:rPr>
        <w:t>, от 30.12.2016 г. №196</w:t>
      </w:r>
      <w:r w:rsidR="00667507">
        <w:rPr>
          <w:rFonts w:ascii="Times New Roman" w:hAnsi="Times New Roman"/>
          <w:sz w:val="20"/>
          <w:szCs w:val="20"/>
        </w:rPr>
        <w:t>, от 2</w:t>
      </w:r>
      <w:r w:rsidR="00D43566">
        <w:rPr>
          <w:rFonts w:ascii="Times New Roman" w:hAnsi="Times New Roman"/>
          <w:sz w:val="20"/>
          <w:szCs w:val="20"/>
        </w:rPr>
        <w:t>5</w:t>
      </w:r>
      <w:r w:rsidR="00667507">
        <w:rPr>
          <w:rFonts w:ascii="Times New Roman" w:hAnsi="Times New Roman"/>
          <w:sz w:val="20"/>
          <w:szCs w:val="20"/>
        </w:rPr>
        <w:t>.04.2017 г. №34</w:t>
      </w:r>
      <w:r w:rsidR="00B8527B">
        <w:rPr>
          <w:rFonts w:ascii="Times New Roman" w:hAnsi="Times New Roman"/>
          <w:sz w:val="20"/>
          <w:szCs w:val="20"/>
        </w:rPr>
        <w:t>,                                от 20.07.2017 г. №81</w:t>
      </w:r>
      <w:r w:rsidR="008D3A34">
        <w:rPr>
          <w:rFonts w:ascii="Times New Roman" w:hAnsi="Times New Roman"/>
          <w:sz w:val="20"/>
          <w:szCs w:val="20"/>
        </w:rPr>
        <w:t>, от 28.12.2017 г. №159</w:t>
      </w:r>
      <w:r w:rsidR="00512023">
        <w:rPr>
          <w:rFonts w:ascii="Times New Roman" w:hAnsi="Times New Roman"/>
          <w:sz w:val="20"/>
          <w:szCs w:val="20"/>
        </w:rPr>
        <w:t>, от 28.02.2018 г. №30</w:t>
      </w:r>
      <w:r w:rsidR="003C4EBF">
        <w:rPr>
          <w:rFonts w:ascii="Times New Roman" w:hAnsi="Times New Roman"/>
          <w:sz w:val="20"/>
          <w:szCs w:val="20"/>
        </w:rPr>
        <w:t xml:space="preserve">, от 06.07.2018 г. </w:t>
      </w:r>
      <w:r w:rsidR="0022035D">
        <w:rPr>
          <w:rFonts w:ascii="Times New Roman" w:hAnsi="Times New Roman"/>
          <w:sz w:val="20"/>
          <w:szCs w:val="20"/>
        </w:rPr>
        <w:t>№106</w:t>
      </w:r>
      <w:r w:rsidR="00B13AD8">
        <w:rPr>
          <w:rFonts w:ascii="Times New Roman" w:hAnsi="Times New Roman"/>
          <w:sz w:val="20"/>
          <w:szCs w:val="20"/>
        </w:rPr>
        <w:t>, от 25.09.2018 г. №146</w:t>
      </w:r>
      <w:r w:rsidR="00511424">
        <w:rPr>
          <w:rFonts w:ascii="Times New Roman" w:hAnsi="Times New Roman"/>
          <w:sz w:val="20"/>
          <w:szCs w:val="20"/>
        </w:rPr>
        <w:t>, от 22.11.2018 г. №181</w:t>
      </w:r>
      <w:r w:rsidR="00000A31">
        <w:rPr>
          <w:rFonts w:ascii="Times New Roman" w:hAnsi="Times New Roman"/>
          <w:sz w:val="20"/>
          <w:szCs w:val="20"/>
        </w:rPr>
        <w:t>, от 13.02.2019 г. №15</w:t>
      </w:r>
      <w:r w:rsidR="00E13CDA">
        <w:rPr>
          <w:rFonts w:ascii="Times New Roman" w:hAnsi="Times New Roman"/>
          <w:sz w:val="20"/>
          <w:szCs w:val="20"/>
        </w:rPr>
        <w:t>, от 11.03.2019 г. №34</w:t>
      </w:r>
      <w:r w:rsidRPr="008C4D75">
        <w:rPr>
          <w:rFonts w:ascii="Times New Roman" w:hAnsi="Times New Roman"/>
          <w:sz w:val="20"/>
          <w:szCs w:val="20"/>
        </w:rPr>
        <w:t>)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331A99" w:rsidTr="000A3F1D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Pr="00331A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1A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331A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Об утверждении Порядка применения целевых статей классификации расходов бюджетов для составления и исполнения бюджета города Сарапула</w:t>
            </w:r>
          </w:p>
        </w:tc>
      </w:tr>
    </w:tbl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статьями 9 и 21 Бюджетного кодекса Российской Федерации, в 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прилагаемый Порядок применения целевых статей классификации расходов бюджетов для составления и исполнения бюджета города Сарапула.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Считать утратившим силу приказ Управления финансов г. Сарапула от 31.12.2014 года № 163 «Об утверждении Порядка применения целевых статей классификации расходов бюджетов для составления и исполнения бюджета города Сарапула» (с учетом изменений, внесенных приказами Управления финансов г. Сарапула от 07.04.2015 года № 31, от 28.05.2015 года № 62, от 27.08.2015 года № 111, от 24.09.2015 года № 123, от 28.10.2015 года № 128, от 12.11.2015 года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133</w:t>
      </w:r>
      <w:r w:rsidR="00E13CDA">
        <w:rPr>
          <w:sz w:val="24"/>
          <w:szCs w:val="24"/>
        </w:rPr>
        <w:t>, от 13.02.2019 г. №15</w:t>
      </w:r>
      <w:r>
        <w:rPr>
          <w:sz w:val="24"/>
          <w:szCs w:val="24"/>
        </w:rPr>
        <w:t>).</w:t>
      </w:r>
      <w:proofErr w:type="gramEnd"/>
    </w:p>
    <w:p w:rsidR="00331A99" w:rsidRP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Настоящий приказ вступает в силу с 01.01.2016 года.</w:t>
      </w:r>
    </w:p>
    <w:p w:rsidR="00331A99" w:rsidRP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331A99">
        <w:rPr>
          <w:sz w:val="24"/>
          <w:szCs w:val="24"/>
        </w:rPr>
        <w:t>. Контроль за исполнением данного приказа возложить на начальника бюджетного отдела Суслову О.В.</w:t>
      </w:r>
    </w:p>
    <w:p w:rsidR="00331A99" w:rsidRP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331A99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 xml:space="preserve">города Сарапула – начальник </w:t>
      </w:r>
    </w:p>
    <w:p w:rsidR="00331A99" w:rsidRPr="00331A99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 xml:space="preserve">Управления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p w:rsidR="00DC7994" w:rsidRDefault="00DC7994" w:rsidP="00DC7994">
      <w:pPr>
        <w:pStyle w:val="a8"/>
        <w:jc w:val="center"/>
      </w:pPr>
    </w:p>
    <w:p w:rsidR="00FA3668" w:rsidRDefault="00FA3668" w:rsidP="00C063FC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2B2A" w:rsidRDefault="00412B2A" w:rsidP="00C063FC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4D75" w:rsidRDefault="008C4D75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 приказом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D8517C">
        <w:rPr>
          <w:rFonts w:ascii="Times New Roman" w:hAnsi="Times New Roman"/>
          <w:sz w:val="24"/>
          <w:szCs w:val="24"/>
        </w:rPr>
        <w:t>28</w:t>
      </w:r>
      <w:r w:rsidRPr="00FD4A6E">
        <w:rPr>
          <w:rFonts w:ascii="Times New Roman" w:hAnsi="Times New Roman"/>
          <w:sz w:val="24"/>
          <w:szCs w:val="24"/>
        </w:rPr>
        <w:t xml:space="preserve"> декабря 201</w:t>
      </w:r>
      <w:r w:rsidR="00412B2A" w:rsidRPr="00FD4A6E">
        <w:rPr>
          <w:rFonts w:ascii="Times New Roman" w:hAnsi="Times New Roman"/>
          <w:sz w:val="24"/>
          <w:szCs w:val="24"/>
        </w:rPr>
        <w:t>5</w:t>
      </w:r>
      <w:r w:rsidRPr="00FD4A6E">
        <w:rPr>
          <w:rFonts w:ascii="Times New Roman" w:hAnsi="Times New Roman"/>
          <w:sz w:val="24"/>
          <w:szCs w:val="24"/>
        </w:rPr>
        <w:t xml:space="preserve"> года № </w:t>
      </w:r>
      <w:r w:rsidR="00FD4A6E" w:rsidRPr="00FD4A6E">
        <w:rPr>
          <w:rFonts w:ascii="Times New Roman" w:hAnsi="Times New Roman"/>
          <w:sz w:val="24"/>
          <w:szCs w:val="24"/>
        </w:rPr>
        <w:t>15</w:t>
      </w:r>
      <w:r w:rsidR="00D8517C">
        <w:rPr>
          <w:rFonts w:ascii="Times New Roman" w:hAnsi="Times New Roman"/>
          <w:sz w:val="24"/>
          <w:szCs w:val="24"/>
        </w:rPr>
        <w:t>0</w:t>
      </w:r>
    </w:p>
    <w:p w:rsidR="008C4D75" w:rsidRDefault="008C4D75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C4D75" w:rsidRDefault="008C4D75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7507" w:rsidRDefault="00667507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7507" w:rsidRDefault="00667507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7507" w:rsidRDefault="00667507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7507" w:rsidRDefault="00667507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7507" w:rsidRDefault="00667507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2D2F4E" w:rsidRDefault="000D14DC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>ПОРЯДОК</w:t>
      </w:r>
    </w:p>
    <w:p w:rsidR="002D2F4E" w:rsidRPr="002D2F4E" w:rsidRDefault="000D14DC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 xml:space="preserve">ПРИМЕНЕНИЯ ЦЕЛЕВЫХ СТАТЕЙ </w:t>
      </w:r>
      <w:r w:rsidR="002D2F4E" w:rsidRPr="002D2F4E">
        <w:rPr>
          <w:rFonts w:ascii="Times New Roman" w:hAnsi="Times New Roman"/>
          <w:b/>
          <w:sz w:val="24"/>
          <w:szCs w:val="24"/>
        </w:rPr>
        <w:t xml:space="preserve">КЛАССИФИКАЦИИ </w:t>
      </w:r>
    </w:p>
    <w:p w:rsidR="002D2F4E" w:rsidRPr="002D2F4E" w:rsidRDefault="000D14DC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>РАСХОДОВ</w:t>
      </w:r>
      <w:r w:rsidR="002D2F4E" w:rsidRPr="002D2F4E">
        <w:rPr>
          <w:rFonts w:ascii="Times New Roman" w:hAnsi="Times New Roman"/>
          <w:b/>
          <w:sz w:val="24"/>
          <w:szCs w:val="24"/>
        </w:rPr>
        <w:t xml:space="preserve"> БЮДЖЕТОВ ДЛЯ СОСТАВЛЕНИЯ </w:t>
      </w:r>
    </w:p>
    <w:p w:rsidR="000D14DC" w:rsidRDefault="002D2F4E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>И ИСПОЛНЕНИЯ БЮДЖЕТА ГОРОДА САРАПУЛА</w:t>
      </w:r>
      <w:r w:rsidR="000D14DC" w:rsidRPr="002D2F4E">
        <w:rPr>
          <w:rFonts w:ascii="Times New Roman" w:hAnsi="Times New Roman"/>
          <w:b/>
          <w:sz w:val="24"/>
          <w:szCs w:val="24"/>
        </w:rPr>
        <w:t xml:space="preserve"> </w:t>
      </w:r>
    </w:p>
    <w:p w:rsidR="008C4D75" w:rsidRDefault="007F008C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008C">
        <w:rPr>
          <w:rFonts w:ascii="Times New Roman" w:hAnsi="Times New Roman"/>
          <w:sz w:val="24"/>
          <w:szCs w:val="24"/>
        </w:rPr>
        <w:t>(в редакции приказ</w:t>
      </w:r>
      <w:r w:rsidR="008C4D75">
        <w:rPr>
          <w:rFonts w:ascii="Times New Roman" w:hAnsi="Times New Roman"/>
          <w:sz w:val="24"/>
          <w:szCs w:val="24"/>
        </w:rPr>
        <w:t>ов</w:t>
      </w:r>
      <w:r w:rsidRPr="007F008C">
        <w:rPr>
          <w:rFonts w:ascii="Times New Roman" w:hAnsi="Times New Roman"/>
          <w:sz w:val="24"/>
          <w:szCs w:val="24"/>
        </w:rPr>
        <w:t xml:space="preserve"> Управления финансов г. Сарапула </w:t>
      </w:r>
      <w:proofErr w:type="gramEnd"/>
    </w:p>
    <w:p w:rsidR="00667507" w:rsidRDefault="007F008C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008C">
        <w:rPr>
          <w:rFonts w:ascii="Times New Roman" w:hAnsi="Times New Roman"/>
          <w:sz w:val="24"/>
          <w:szCs w:val="24"/>
        </w:rPr>
        <w:t>от 20.05.2016 года № 63</w:t>
      </w:r>
      <w:r w:rsidR="008C4D75">
        <w:rPr>
          <w:rFonts w:ascii="Times New Roman" w:hAnsi="Times New Roman"/>
          <w:sz w:val="24"/>
          <w:szCs w:val="24"/>
        </w:rPr>
        <w:t>, от 28.07.2016 года №111</w:t>
      </w:r>
      <w:r w:rsidR="008F34A1">
        <w:rPr>
          <w:rFonts w:ascii="Times New Roman" w:hAnsi="Times New Roman"/>
          <w:sz w:val="24"/>
          <w:szCs w:val="24"/>
        </w:rPr>
        <w:t>, от 30.12.2016 года №196</w:t>
      </w:r>
      <w:r w:rsidR="00667507">
        <w:rPr>
          <w:rFonts w:ascii="Times New Roman" w:hAnsi="Times New Roman"/>
          <w:sz w:val="24"/>
          <w:szCs w:val="24"/>
        </w:rPr>
        <w:t>,</w:t>
      </w:r>
    </w:p>
    <w:p w:rsidR="007F008C" w:rsidRPr="007F008C" w:rsidRDefault="00667507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D435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.04.2017 г. №34</w:t>
      </w:r>
      <w:r w:rsidR="00B8527B">
        <w:rPr>
          <w:rFonts w:ascii="Times New Roman" w:hAnsi="Times New Roman"/>
          <w:sz w:val="24"/>
          <w:szCs w:val="24"/>
        </w:rPr>
        <w:t>, от 20.07.2017 г. №81</w:t>
      </w:r>
      <w:r w:rsidR="00556D7F">
        <w:rPr>
          <w:rFonts w:ascii="Times New Roman" w:hAnsi="Times New Roman"/>
          <w:sz w:val="24"/>
          <w:szCs w:val="24"/>
        </w:rPr>
        <w:t>, от 28.12.2017 г. №159</w:t>
      </w:r>
      <w:r w:rsidR="00F82889">
        <w:rPr>
          <w:rFonts w:ascii="Times New Roman" w:hAnsi="Times New Roman"/>
          <w:sz w:val="24"/>
          <w:szCs w:val="24"/>
        </w:rPr>
        <w:t>, от 28.02.2018 г. №30</w:t>
      </w:r>
      <w:r w:rsidR="00F9626F">
        <w:rPr>
          <w:rFonts w:ascii="Times New Roman" w:hAnsi="Times New Roman"/>
          <w:sz w:val="24"/>
          <w:szCs w:val="24"/>
        </w:rPr>
        <w:t>, от 06.07.2018 г. №106</w:t>
      </w:r>
      <w:r w:rsidR="00B13AD8">
        <w:rPr>
          <w:rFonts w:ascii="Times New Roman" w:hAnsi="Times New Roman"/>
          <w:sz w:val="24"/>
          <w:szCs w:val="24"/>
        </w:rPr>
        <w:t>, от 25.09.2018 г. №146</w:t>
      </w:r>
      <w:r w:rsidR="00511424">
        <w:rPr>
          <w:rFonts w:ascii="Times New Roman" w:hAnsi="Times New Roman"/>
          <w:sz w:val="24"/>
          <w:szCs w:val="24"/>
        </w:rPr>
        <w:t>, от 22.11.2018 г. №181</w:t>
      </w:r>
      <w:r w:rsidR="00000A31">
        <w:rPr>
          <w:rFonts w:ascii="Times New Roman" w:hAnsi="Times New Roman"/>
          <w:sz w:val="24"/>
          <w:szCs w:val="24"/>
        </w:rPr>
        <w:t>, от 13.02.2019 г. №15</w:t>
      </w:r>
      <w:r w:rsidR="00E13CDA">
        <w:rPr>
          <w:rFonts w:ascii="Times New Roman" w:hAnsi="Times New Roman"/>
          <w:sz w:val="24"/>
          <w:szCs w:val="24"/>
        </w:rPr>
        <w:t>, от 11.03.2019 г. №34</w:t>
      </w:r>
      <w:r w:rsidR="007F008C" w:rsidRPr="007F008C">
        <w:rPr>
          <w:rFonts w:ascii="Times New Roman" w:hAnsi="Times New Roman"/>
          <w:sz w:val="24"/>
          <w:szCs w:val="24"/>
        </w:rPr>
        <w:t>)</w:t>
      </w:r>
    </w:p>
    <w:p w:rsidR="00667507" w:rsidRDefault="00667507" w:rsidP="002D2F4E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D2F4E" w:rsidRDefault="002D2F4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F4E">
        <w:rPr>
          <w:rFonts w:ascii="Times New Roman" w:hAnsi="Times New Roman"/>
          <w:sz w:val="24"/>
          <w:szCs w:val="24"/>
        </w:rPr>
        <w:t>Настоящий порядок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применения целевых статей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составления и исполнения бюджета города Сарапула (далее – Порядок) разработан в целях формирования и исполнения бюджета города Сарапула и устанавливает порядок применения целевых статей классификации расходов бюджетов муниципальными учреждениями города Сарапула.</w:t>
      </w:r>
    </w:p>
    <w:p w:rsidR="002D2F4E" w:rsidRDefault="002D2F4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507" w:rsidRDefault="00667507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F4E" w:rsidRDefault="002D2F4E" w:rsidP="00695FA4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>1.  Общие положения</w:t>
      </w:r>
    </w:p>
    <w:p w:rsidR="002D2F4E" w:rsidRDefault="002D2F4E" w:rsidP="00695FA4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2F4E" w:rsidRDefault="002D2F4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статьи расходов бюджета города Сарапула обеспечивают привязку бюджетных ассигнований к муниципальным программам города Сарапула, их подпрограммам</w:t>
      </w:r>
      <w:r w:rsidR="00520382">
        <w:rPr>
          <w:rFonts w:ascii="Times New Roman" w:hAnsi="Times New Roman"/>
          <w:sz w:val="24"/>
          <w:szCs w:val="24"/>
        </w:rPr>
        <w:t>, основным мероприятиям</w:t>
      </w:r>
      <w:r>
        <w:rPr>
          <w:rFonts w:ascii="Times New Roman" w:hAnsi="Times New Roman"/>
          <w:sz w:val="24"/>
          <w:szCs w:val="24"/>
        </w:rPr>
        <w:t xml:space="preserve"> и (или) не</w:t>
      </w:r>
      <w:r w:rsidR="00520382">
        <w:rPr>
          <w:rFonts w:ascii="Times New Roman" w:hAnsi="Times New Roman"/>
          <w:sz w:val="24"/>
          <w:szCs w:val="24"/>
        </w:rPr>
        <w:t>программным направлениям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="00520382">
        <w:rPr>
          <w:rFonts w:ascii="Times New Roman" w:hAnsi="Times New Roman"/>
          <w:sz w:val="24"/>
          <w:szCs w:val="24"/>
        </w:rPr>
        <w:t xml:space="preserve">(функциям) </w:t>
      </w:r>
      <w:r w:rsidR="00953E82">
        <w:rPr>
          <w:rFonts w:ascii="Times New Roman" w:hAnsi="Times New Roman"/>
          <w:sz w:val="24"/>
          <w:szCs w:val="24"/>
        </w:rPr>
        <w:t>органов местного самоуправления г</w:t>
      </w:r>
      <w:r>
        <w:rPr>
          <w:rFonts w:ascii="Times New Roman" w:hAnsi="Times New Roman"/>
          <w:sz w:val="24"/>
          <w:szCs w:val="24"/>
        </w:rPr>
        <w:t>орода Сарапула.</w:t>
      </w:r>
    </w:p>
    <w:p w:rsidR="00DF51F1" w:rsidRDefault="00DF51F1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целевых </w:t>
      </w:r>
      <w:proofErr w:type="gramStart"/>
      <w:r>
        <w:rPr>
          <w:rFonts w:ascii="Times New Roman" w:hAnsi="Times New Roman"/>
          <w:sz w:val="24"/>
          <w:szCs w:val="24"/>
        </w:rPr>
        <w:t>статей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Управлением финансов г. Сарапула.</w:t>
      </w:r>
    </w:p>
    <w:p w:rsidR="002D2F4E" w:rsidRDefault="002D2F4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</w:t>
      </w:r>
      <w:proofErr w:type="gramStart"/>
      <w:r>
        <w:rPr>
          <w:rFonts w:ascii="Times New Roman" w:hAnsi="Times New Roman"/>
          <w:sz w:val="24"/>
          <w:szCs w:val="24"/>
        </w:rPr>
        <w:t>кода целевой статьи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24C16">
        <w:rPr>
          <w:rFonts w:ascii="Times New Roman" w:hAnsi="Times New Roman"/>
          <w:sz w:val="24"/>
          <w:szCs w:val="24"/>
        </w:rPr>
        <w:t xml:space="preserve">состоит из десяти разрядов </w:t>
      </w:r>
      <w:r w:rsidR="00520382">
        <w:rPr>
          <w:rFonts w:ascii="Times New Roman" w:hAnsi="Times New Roman"/>
          <w:sz w:val="24"/>
          <w:szCs w:val="24"/>
        </w:rPr>
        <w:t>и включает следующие</w:t>
      </w:r>
      <w:r>
        <w:rPr>
          <w:rFonts w:ascii="Times New Roman" w:hAnsi="Times New Roman"/>
          <w:sz w:val="24"/>
          <w:szCs w:val="24"/>
        </w:rPr>
        <w:t xml:space="preserve"> составны</w:t>
      </w:r>
      <w:r w:rsidR="0052038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част</w:t>
      </w:r>
      <w:r w:rsidR="00520382">
        <w:rPr>
          <w:rFonts w:ascii="Times New Roman" w:hAnsi="Times New Roman"/>
          <w:sz w:val="24"/>
          <w:szCs w:val="24"/>
        </w:rPr>
        <w:t>и (таблица 1)</w:t>
      </w:r>
      <w:r>
        <w:rPr>
          <w:rFonts w:ascii="Times New Roman" w:hAnsi="Times New Roman"/>
          <w:sz w:val="24"/>
          <w:szCs w:val="24"/>
        </w:rPr>
        <w:t>:</w:t>
      </w:r>
    </w:p>
    <w:p w:rsidR="002D2F4E" w:rsidRDefault="00695FA4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5FA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код программного (непрограммного) направления расходов (8 – 9 разряды</w:t>
      </w:r>
      <w:r w:rsidR="00520382">
        <w:rPr>
          <w:rFonts w:ascii="Times New Roman" w:hAnsi="Times New Roman"/>
          <w:sz w:val="24"/>
          <w:szCs w:val="24"/>
        </w:rPr>
        <w:t xml:space="preserve"> кода классификации расходов бюджетов</w:t>
      </w:r>
      <w:r>
        <w:rPr>
          <w:rFonts w:ascii="Times New Roman" w:hAnsi="Times New Roman"/>
          <w:sz w:val="24"/>
          <w:szCs w:val="24"/>
        </w:rPr>
        <w:t>)</w:t>
      </w:r>
      <w:r w:rsidR="00161B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предназначен</w:t>
      </w:r>
      <w:r w:rsidR="00F24C16"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z w:val="24"/>
          <w:szCs w:val="24"/>
        </w:rPr>
        <w:t xml:space="preserve"> для кодирования </w:t>
      </w:r>
      <w:r w:rsidR="00F24C16">
        <w:rPr>
          <w:rFonts w:ascii="Times New Roman" w:hAnsi="Times New Roman"/>
          <w:sz w:val="24"/>
          <w:szCs w:val="24"/>
        </w:rPr>
        <w:t xml:space="preserve">бюджетных ассигнований по </w:t>
      </w:r>
      <w:r>
        <w:rPr>
          <w:rFonts w:ascii="Times New Roman" w:hAnsi="Times New Roman"/>
          <w:sz w:val="24"/>
          <w:szCs w:val="24"/>
        </w:rPr>
        <w:t>муниципальны</w:t>
      </w:r>
      <w:r w:rsidR="00F24C1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F24C16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города Сарапула, непрограммны</w:t>
      </w:r>
      <w:r w:rsidR="00F24C1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направлени</w:t>
      </w:r>
      <w:r w:rsidR="00F24C16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953E82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  <w:szCs w:val="24"/>
        </w:rPr>
        <w:t>города Сарапула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95FA4" w:rsidRDefault="00695FA4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код подпрограммы (10 разряд</w:t>
      </w:r>
      <w:r w:rsidR="00161B3F">
        <w:rPr>
          <w:rFonts w:ascii="Times New Roman" w:hAnsi="Times New Roman"/>
          <w:sz w:val="24"/>
          <w:szCs w:val="24"/>
        </w:rPr>
        <w:t xml:space="preserve"> кода классификации расходов бюджетов</w:t>
      </w:r>
      <w:r>
        <w:rPr>
          <w:rFonts w:ascii="Times New Roman" w:hAnsi="Times New Roman"/>
          <w:sz w:val="24"/>
          <w:szCs w:val="24"/>
        </w:rPr>
        <w:t>)</w:t>
      </w:r>
      <w:r w:rsidR="00F24C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предназначен</w:t>
      </w:r>
      <w:r w:rsidR="00F24C16"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z w:val="24"/>
          <w:szCs w:val="24"/>
        </w:rPr>
        <w:t xml:space="preserve"> для кодирования </w:t>
      </w:r>
      <w:r w:rsidR="00F24C16">
        <w:rPr>
          <w:rFonts w:ascii="Times New Roman" w:hAnsi="Times New Roman"/>
          <w:sz w:val="24"/>
          <w:szCs w:val="24"/>
        </w:rPr>
        <w:t xml:space="preserve">бюджетных ассигнований по </w:t>
      </w:r>
      <w:r>
        <w:rPr>
          <w:rFonts w:ascii="Times New Roman" w:hAnsi="Times New Roman"/>
          <w:sz w:val="24"/>
          <w:szCs w:val="24"/>
        </w:rPr>
        <w:t>подпрограмм</w:t>
      </w:r>
      <w:r w:rsidR="00F24C16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муниципальных программ города Сарапула, предусмотренных в рамках муниципальных программ города Сарапула, а также для кодирования подпрограмм в рамках непрограммных направлений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953E82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Сарапула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61B3F" w:rsidRDefault="00161B3F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код основного мероприятия (11 – 12 разряды кода классификации расходов бюджетов), предназначенный для кодирования </w:t>
      </w:r>
      <w:r w:rsidR="00F24C16">
        <w:rPr>
          <w:rFonts w:ascii="Times New Roman" w:hAnsi="Times New Roman"/>
          <w:sz w:val="24"/>
          <w:szCs w:val="24"/>
        </w:rPr>
        <w:t xml:space="preserve">бюджетных ассигнований по </w:t>
      </w:r>
      <w:r>
        <w:rPr>
          <w:rFonts w:ascii="Times New Roman" w:hAnsi="Times New Roman"/>
          <w:sz w:val="24"/>
          <w:szCs w:val="24"/>
        </w:rPr>
        <w:t>основны</w:t>
      </w:r>
      <w:r w:rsidR="00F24C1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F24C16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в рамках подпрограмм муниципальных программ города Сарапула;</w:t>
      </w:r>
    </w:p>
    <w:p w:rsidR="00695FA4" w:rsidRDefault="00161B3F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5FA4">
        <w:rPr>
          <w:rFonts w:ascii="Times New Roman" w:hAnsi="Times New Roman"/>
          <w:sz w:val="24"/>
          <w:szCs w:val="24"/>
        </w:rPr>
        <w:t>) код направления расходов (1</w:t>
      </w:r>
      <w:r>
        <w:rPr>
          <w:rFonts w:ascii="Times New Roman" w:hAnsi="Times New Roman"/>
          <w:sz w:val="24"/>
          <w:szCs w:val="24"/>
        </w:rPr>
        <w:t>3</w:t>
      </w:r>
      <w:r w:rsidR="00695FA4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7</w:t>
      </w:r>
      <w:r w:rsidR="00695FA4">
        <w:rPr>
          <w:rFonts w:ascii="Times New Roman" w:hAnsi="Times New Roman"/>
          <w:sz w:val="24"/>
          <w:szCs w:val="24"/>
        </w:rPr>
        <w:t xml:space="preserve"> разряды</w:t>
      </w:r>
      <w:r>
        <w:rPr>
          <w:rFonts w:ascii="Times New Roman" w:hAnsi="Times New Roman"/>
          <w:sz w:val="24"/>
          <w:szCs w:val="24"/>
        </w:rPr>
        <w:t xml:space="preserve"> кода классификации расходов бюджетов</w:t>
      </w:r>
      <w:r w:rsidR="00695F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695FA4">
        <w:rPr>
          <w:rFonts w:ascii="Times New Roman" w:hAnsi="Times New Roman"/>
          <w:sz w:val="24"/>
          <w:szCs w:val="24"/>
        </w:rPr>
        <w:t>предназначе</w:t>
      </w:r>
      <w:r>
        <w:rPr>
          <w:rFonts w:ascii="Times New Roman" w:hAnsi="Times New Roman"/>
          <w:sz w:val="24"/>
          <w:szCs w:val="24"/>
        </w:rPr>
        <w:t>н</w:t>
      </w:r>
      <w:r w:rsidR="00695FA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 w:rsidR="00695FA4">
        <w:rPr>
          <w:rFonts w:ascii="Times New Roman" w:hAnsi="Times New Roman"/>
          <w:sz w:val="24"/>
          <w:szCs w:val="24"/>
        </w:rPr>
        <w:t xml:space="preserve"> для кодирования </w:t>
      </w:r>
      <w:r w:rsidR="00F24C16">
        <w:rPr>
          <w:rFonts w:ascii="Times New Roman" w:hAnsi="Times New Roman"/>
          <w:sz w:val="24"/>
          <w:szCs w:val="24"/>
        </w:rPr>
        <w:t xml:space="preserve">бюджетных ассигнований по </w:t>
      </w:r>
      <w:r w:rsidR="00695FA4">
        <w:rPr>
          <w:rFonts w:ascii="Times New Roman" w:hAnsi="Times New Roman"/>
          <w:sz w:val="24"/>
          <w:szCs w:val="24"/>
        </w:rPr>
        <w:t>направлени</w:t>
      </w:r>
      <w:r w:rsidR="00F24C16">
        <w:rPr>
          <w:rFonts w:ascii="Times New Roman" w:hAnsi="Times New Roman"/>
          <w:sz w:val="24"/>
          <w:szCs w:val="24"/>
        </w:rPr>
        <w:t>ям</w:t>
      </w:r>
      <w:r w:rsidR="00695FA4">
        <w:rPr>
          <w:rFonts w:ascii="Times New Roman" w:hAnsi="Times New Roman"/>
          <w:sz w:val="24"/>
          <w:szCs w:val="24"/>
        </w:rPr>
        <w:t xml:space="preserve"> расходования средств, конкретизирующи</w:t>
      </w:r>
      <w:r w:rsidR="00F24C16">
        <w:rPr>
          <w:rFonts w:ascii="Times New Roman" w:hAnsi="Times New Roman"/>
          <w:sz w:val="24"/>
          <w:szCs w:val="24"/>
        </w:rPr>
        <w:t>м</w:t>
      </w:r>
      <w:r w:rsidR="00695FA4">
        <w:rPr>
          <w:rFonts w:ascii="Times New Roman" w:hAnsi="Times New Roman"/>
          <w:sz w:val="24"/>
          <w:szCs w:val="24"/>
        </w:rPr>
        <w:t xml:space="preserve"> (при необходимости) отдельные мероприятия.</w:t>
      </w:r>
    </w:p>
    <w:p w:rsidR="00667507" w:rsidRDefault="00667507" w:rsidP="009A3A5D">
      <w:pPr>
        <w:tabs>
          <w:tab w:val="left" w:pos="5954"/>
        </w:tabs>
        <w:spacing w:line="20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7718" w:rsidRDefault="005C7718" w:rsidP="009A3A5D">
      <w:pPr>
        <w:tabs>
          <w:tab w:val="left" w:pos="5954"/>
        </w:tabs>
        <w:spacing w:line="20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10"/>
        <w:gridCol w:w="1982"/>
        <w:gridCol w:w="881"/>
        <w:gridCol w:w="881"/>
        <w:gridCol w:w="721"/>
        <w:gridCol w:w="721"/>
        <w:gridCol w:w="721"/>
        <w:gridCol w:w="721"/>
        <w:gridCol w:w="722"/>
      </w:tblGrid>
      <w:tr w:rsidR="009A3A5D" w:rsidRPr="008C4D75" w:rsidTr="00E1725A">
        <w:tc>
          <w:tcPr>
            <w:tcW w:w="9571" w:type="dxa"/>
            <w:gridSpan w:val="10"/>
            <w:shd w:val="clear" w:color="auto" w:fill="auto"/>
          </w:tcPr>
          <w:p w:rsidR="009A3A5D" w:rsidRPr="008C4D75" w:rsidRDefault="009A3A5D" w:rsidP="009A3A5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9A3A5D" w:rsidRPr="008C4D75" w:rsidTr="00161B3F">
        <w:tc>
          <w:tcPr>
            <w:tcW w:w="5965" w:type="dxa"/>
            <w:gridSpan w:val="5"/>
            <w:shd w:val="clear" w:color="auto" w:fill="auto"/>
          </w:tcPr>
          <w:p w:rsidR="009A3A5D" w:rsidRPr="008C4D75" w:rsidRDefault="009A3A5D" w:rsidP="009A3A5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Программная целевая статья</w:t>
            </w:r>
          </w:p>
        </w:tc>
        <w:tc>
          <w:tcPr>
            <w:tcW w:w="3606" w:type="dxa"/>
            <w:gridSpan w:val="5"/>
            <w:vMerge w:val="restart"/>
            <w:shd w:val="clear" w:color="auto" w:fill="auto"/>
            <w:vAlign w:val="center"/>
          </w:tcPr>
          <w:p w:rsidR="009A3A5D" w:rsidRPr="008C4D75" w:rsidRDefault="009A3A5D" w:rsidP="009A3A5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9A3A5D" w:rsidRPr="008C4D75" w:rsidTr="00161B3F">
        <w:tc>
          <w:tcPr>
            <w:tcW w:w="2221" w:type="dxa"/>
            <w:gridSpan w:val="2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982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606" w:type="dxa"/>
            <w:gridSpan w:val="5"/>
            <w:vMerge/>
            <w:shd w:val="clear" w:color="auto" w:fill="auto"/>
          </w:tcPr>
          <w:p w:rsidR="009A3A5D" w:rsidRPr="008C4D75" w:rsidRDefault="009A3A5D" w:rsidP="00E172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5D" w:rsidRPr="008C4D75" w:rsidTr="00161B3F">
        <w:tc>
          <w:tcPr>
            <w:tcW w:w="1111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1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  <w:shd w:val="clear" w:color="auto" w:fill="auto"/>
          </w:tcPr>
          <w:p w:rsidR="009A3A5D" w:rsidRPr="008C4D75" w:rsidRDefault="009A3A5D" w:rsidP="00E172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54F78" w:rsidRDefault="00654F78" w:rsidP="009A3A5D">
      <w:pPr>
        <w:tabs>
          <w:tab w:val="left" w:pos="5954"/>
        </w:tabs>
        <w:spacing w:line="200" w:lineRule="atLeast"/>
        <w:contextualSpacing/>
        <w:rPr>
          <w:rFonts w:ascii="Times New Roman" w:hAnsi="Times New Roman"/>
          <w:sz w:val="24"/>
          <w:szCs w:val="24"/>
        </w:rPr>
      </w:pPr>
    </w:p>
    <w:p w:rsidR="00AA52C7" w:rsidRDefault="00DF51F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Целевым статьям </w:t>
      </w:r>
      <w:r w:rsidR="00AA52C7">
        <w:rPr>
          <w:rFonts w:ascii="Times New Roman" w:hAnsi="Times New Roman"/>
          <w:sz w:val="24"/>
          <w:szCs w:val="24"/>
        </w:rPr>
        <w:t xml:space="preserve">бюджета города Сарапула </w:t>
      </w:r>
      <w:r>
        <w:rPr>
          <w:rFonts w:ascii="Times New Roman" w:hAnsi="Times New Roman"/>
          <w:sz w:val="24"/>
          <w:szCs w:val="24"/>
        </w:rPr>
        <w:t>прис</w:t>
      </w:r>
      <w:r w:rsidR="00AA52C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аиваются уникальные коды,</w:t>
      </w:r>
      <w:r w:rsidR="00AA52C7">
        <w:rPr>
          <w:rFonts w:ascii="Times New Roman" w:hAnsi="Times New Roman"/>
          <w:sz w:val="24"/>
          <w:szCs w:val="24"/>
        </w:rPr>
        <w:t xml:space="preserve"> при формировании </w:t>
      </w:r>
      <w:r>
        <w:rPr>
          <w:rFonts w:ascii="Times New Roman" w:hAnsi="Times New Roman"/>
          <w:sz w:val="24"/>
          <w:szCs w:val="24"/>
        </w:rPr>
        <w:t>которых</w:t>
      </w:r>
      <w:r w:rsidR="00AA52C7">
        <w:rPr>
          <w:rFonts w:ascii="Times New Roman" w:hAnsi="Times New Roman"/>
          <w:sz w:val="24"/>
          <w:szCs w:val="24"/>
        </w:rPr>
        <w:t xml:space="preserve"> кодировка направления (1</w:t>
      </w:r>
      <w:r w:rsidR="009A3A5D">
        <w:rPr>
          <w:rFonts w:ascii="Times New Roman" w:hAnsi="Times New Roman"/>
          <w:sz w:val="24"/>
          <w:szCs w:val="24"/>
        </w:rPr>
        <w:t>3</w:t>
      </w:r>
      <w:r w:rsidR="00AA52C7">
        <w:rPr>
          <w:rFonts w:ascii="Times New Roman" w:hAnsi="Times New Roman"/>
          <w:sz w:val="24"/>
          <w:szCs w:val="24"/>
        </w:rPr>
        <w:t xml:space="preserve"> разряд) начинается с цифр «6», «7», «8», а с разряда 1</w:t>
      </w:r>
      <w:r w:rsidR="009A3A5D">
        <w:rPr>
          <w:rFonts w:ascii="Times New Roman" w:hAnsi="Times New Roman"/>
          <w:sz w:val="24"/>
          <w:szCs w:val="24"/>
        </w:rPr>
        <w:t>4</w:t>
      </w:r>
      <w:r w:rsidR="00AA52C7">
        <w:rPr>
          <w:rFonts w:ascii="Times New Roman" w:hAnsi="Times New Roman"/>
          <w:sz w:val="24"/>
          <w:szCs w:val="24"/>
        </w:rPr>
        <w:t xml:space="preserve"> применяется </w:t>
      </w:r>
      <w:r w:rsidR="004149E0">
        <w:rPr>
          <w:rFonts w:ascii="Times New Roman" w:hAnsi="Times New Roman"/>
          <w:sz w:val="24"/>
          <w:szCs w:val="24"/>
        </w:rPr>
        <w:t xml:space="preserve">буквенно – </w:t>
      </w:r>
      <w:r w:rsidR="00AA52C7">
        <w:rPr>
          <w:rFonts w:ascii="Times New Roman" w:hAnsi="Times New Roman"/>
          <w:sz w:val="24"/>
          <w:szCs w:val="24"/>
        </w:rPr>
        <w:t>цифровой ряд: 0, 1, 2, 3, 4, 5, 6, 7, 8, 9</w:t>
      </w:r>
      <w:r w:rsidR="004149E0">
        <w:rPr>
          <w:rFonts w:ascii="Times New Roman" w:hAnsi="Times New Roman"/>
          <w:sz w:val="24"/>
          <w:szCs w:val="24"/>
        </w:rPr>
        <w:t>,</w:t>
      </w:r>
      <w:r w:rsidR="004149E0" w:rsidRPr="004149E0">
        <w:rPr>
          <w:rFonts w:ascii="Times New Roman" w:hAnsi="Times New Roman"/>
          <w:sz w:val="24"/>
          <w:szCs w:val="24"/>
        </w:rPr>
        <w:t xml:space="preserve"> </w:t>
      </w:r>
      <w:r w:rsidR="008F34A1">
        <w:rPr>
          <w:rFonts w:ascii="Times New Roman" w:hAnsi="Times New Roman"/>
          <w:sz w:val="24"/>
          <w:szCs w:val="24"/>
          <w:lang w:val="en-US"/>
        </w:rPr>
        <w:t>L</w:t>
      </w:r>
      <w:r w:rsidR="008F34A1">
        <w:rPr>
          <w:rFonts w:ascii="Times New Roman" w:hAnsi="Times New Roman"/>
          <w:sz w:val="24"/>
          <w:szCs w:val="24"/>
        </w:rPr>
        <w:t xml:space="preserve">, </w:t>
      </w:r>
      <w:r w:rsidR="004149E0">
        <w:rPr>
          <w:rFonts w:ascii="Times New Roman" w:hAnsi="Times New Roman"/>
          <w:sz w:val="24"/>
          <w:szCs w:val="24"/>
          <w:lang w:val="en-US"/>
        </w:rPr>
        <w:t>S</w:t>
      </w:r>
      <w:r w:rsidR="00AA52C7">
        <w:rPr>
          <w:rFonts w:ascii="Times New Roman" w:hAnsi="Times New Roman"/>
          <w:sz w:val="24"/>
          <w:szCs w:val="24"/>
        </w:rPr>
        <w:t>.</w:t>
      </w:r>
    </w:p>
    <w:p w:rsidR="003072AF" w:rsidRDefault="003072AF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финансов г. Сарапула утверждает единую структуру программной (непрограммной) части кода целевой статьи расходов бюджета города Сарапула (8 – 12 разряды кода расходов бюджетов) для отражения направления бюджетных ассигнований на реализацию муниципальных программ и непрограммных направлений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953E82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Сарапула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F34A1" w:rsidRDefault="008F34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 направлений расходов, содержащие значения:</w:t>
      </w:r>
    </w:p>
    <w:p w:rsidR="008F34A1" w:rsidRDefault="008F34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Pr="008F34A1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F34A1">
        <w:rPr>
          <w:rFonts w:ascii="Times New Roman" w:hAnsi="Times New Roman"/>
          <w:sz w:val="24"/>
          <w:szCs w:val="24"/>
        </w:rPr>
        <w:t>9990</w:t>
      </w:r>
      <w:r>
        <w:rPr>
          <w:rFonts w:ascii="Times New Roman" w:hAnsi="Times New Roman"/>
          <w:sz w:val="24"/>
          <w:szCs w:val="24"/>
        </w:rPr>
        <w:t xml:space="preserve"> – предназначены для отражения расходов бюджета города Сарапула, в целях софинансирования которых бюджету города Сарапула </w:t>
      </w:r>
      <w:proofErr w:type="gramStart"/>
      <w:r>
        <w:rPr>
          <w:rFonts w:ascii="Times New Roman" w:hAnsi="Times New Roman"/>
          <w:sz w:val="24"/>
          <w:szCs w:val="24"/>
        </w:rPr>
        <w:t>предоставляются  субсидии</w:t>
      </w:r>
      <w:proofErr w:type="gramEnd"/>
      <w:r w:rsidR="00F82889">
        <w:rPr>
          <w:rFonts w:ascii="Times New Roman" w:hAnsi="Times New Roman"/>
          <w:sz w:val="24"/>
          <w:szCs w:val="24"/>
        </w:rPr>
        <w:t xml:space="preserve"> из бюджета Удмуртской Республики за счет субсидий, предоставляемых из федерального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8F34A1" w:rsidRDefault="008F34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8F34A1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F34A1">
        <w:rPr>
          <w:rFonts w:ascii="Times New Roman" w:hAnsi="Times New Roman"/>
          <w:sz w:val="24"/>
          <w:szCs w:val="24"/>
        </w:rPr>
        <w:t xml:space="preserve">9990 – </w:t>
      </w:r>
      <w:r w:rsidR="00F82889">
        <w:rPr>
          <w:rFonts w:ascii="Times New Roman" w:hAnsi="Times New Roman"/>
          <w:sz w:val="24"/>
          <w:szCs w:val="24"/>
        </w:rPr>
        <w:t xml:space="preserve">предназначены </w:t>
      </w:r>
      <w:r>
        <w:rPr>
          <w:rFonts w:ascii="Times New Roman" w:hAnsi="Times New Roman"/>
          <w:sz w:val="24"/>
          <w:szCs w:val="24"/>
        </w:rPr>
        <w:t>для отражения расходов бюджета города Сарапула,</w:t>
      </w:r>
      <w:r w:rsidR="00F82889">
        <w:rPr>
          <w:rFonts w:ascii="Times New Roman" w:hAnsi="Times New Roman"/>
          <w:sz w:val="24"/>
          <w:szCs w:val="24"/>
        </w:rPr>
        <w:t xml:space="preserve"> в целях софинансирования </w:t>
      </w:r>
      <w:r>
        <w:rPr>
          <w:rFonts w:ascii="Times New Roman" w:hAnsi="Times New Roman"/>
          <w:sz w:val="24"/>
          <w:szCs w:val="24"/>
        </w:rPr>
        <w:t>которых бюджету города Сарапула</w:t>
      </w:r>
      <w:r w:rsidR="00F82889">
        <w:rPr>
          <w:rFonts w:ascii="Times New Roman" w:hAnsi="Times New Roman"/>
          <w:sz w:val="24"/>
          <w:szCs w:val="24"/>
        </w:rPr>
        <w:t xml:space="preserve"> предоставляются субсидии из бюджета субъекта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8F34A1" w:rsidRDefault="008F34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кодов целевых статей расходов, содержащих направления расходов бюджета города Сарапула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F34A1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F34A1">
        <w:rPr>
          <w:rFonts w:ascii="Times New Roman" w:hAnsi="Times New Roman"/>
          <w:sz w:val="24"/>
          <w:szCs w:val="24"/>
        </w:rPr>
        <w:t xml:space="preserve">9990,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F34A1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F34A1">
        <w:rPr>
          <w:rFonts w:ascii="Times New Roman" w:hAnsi="Times New Roman"/>
          <w:sz w:val="24"/>
          <w:szCs w:val="24"/>
        </w:rPr>
        <w:t>9990</w:t>
      </w:r>
      <w:r>
        <w:rPr>
          <w:rFonts w:ascii="Times New Roman" w:hAnsi="Times New Roman"/>
          <w:sz w:val="24"/>
          <w:szCs w:val="24"/>
        </w:rPr>
        <w:t xml:space="preserve">, на уровне второго – пятого разрядов направлений расходов обеспечивается однозначная увязка данных </w:t>
      </w:r>
      <w:proofErr w:type="gramStart"/>
      <w:r>
        <w:rPr>
          <w:rFonts w:ascii="Times New Roman" w:hAnsi="Times New Roman"/>
          <w:sz w:val="24"/>
          <w:szCs w:val="24"/>
        </w:rPr>
        <w:t>кодов</w:t>
      </w:r>
      <w:r w:rsidR="00260756">
        <w:rPr>
          <w:rFonts w:ascii="Times New Roman" w:hAnsi="Times New Roman"/>
          <w:sz w:val="24"/>
          <w:szCs w:val="24"/>
        </w:rPr>
        <w:t xml:space="preserve"> расходов бюджета города Сарапула</w:t>
      </w:r>
      <w:proofErr w:type="gramEnd"/>
      <w:r w:rsidR="00260756">
        <w:rPr>
          <w:rFonts w:ascii="Times New Roman" w:hAnsi="Times New Roman"/>
          <w:sz w:val="24"/>
          <w:szCs w:val="24"/>
        </w:rPr>
        <w:t xml:space="preserve"> с кодами направлений расходов бюджета бюджетной системы Российской Федерации, предоставляющего соответствующую субсидию.</w:t>
      </w:r>
    </w:p>
    <w:p w:rsidR="00260756" w:rsidRPr="008F34A1" w:rsidRDefault="00260756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финансового года предусматривается внесение изменений в наименование и (или) код целевой статьи для отражения расходов бюджета города Сарапула, в целях софинансирования которых бюджету города Сарапула предоставляются межбюджетные субсидии, распределяемые из бюджетов бюджетной системы Российской Федерации в течение финансового года.</w:t>
      </w:r>
    </w:p>
    <w:p w:rsidR="00713113" w:rsidRDefault="0071311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Наименования целевых </w:t>
      </w:r>
      <w:proofErr w:type="gramStart"/>
      <w:r>
        <w:rPr>
          <w:rFonts w:ascii="Times New Roman" w:hAnsi="Times New Roman"/>
          <w:sz w:val="24"/>
          <w:szCs w:val="24"/>
        </w:rPr>
        <w:t>статей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Управлением финансов г. Сарапула и характеризуют направление бюджетных ассигнований на реализацию:</w:t>
      </w:r>
    </w:p>
    <w:p w:rsidR="00713113" w:rsidRDefault="0071311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программ города Сарапула (непрограммных направлений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953E82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Сарапула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713113" w:rsidRDefault="0071311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 муниципальных программ города Сарапула</w:t>
      </w:r>
      <w:r w:rsidR="00430D08">
        <w:rPr>
          <w:rFonts w:ascii="Times New Roman" w:hAnsi="Times New Roman"/>
          <w:sz w:val="24"/>
          <w:szCs w:val="24"/>
        </w:rPr>
        <w:t xml:space="preserve"> (непрограммных направлений </w:t>
      </w:r>
      <w:proofErr w:type="gramStart"/>
      <w:r w:rsidR="00430D08">
        <w:rPr>
          <w:rFonts w:ascii="Times New Roman" w:hAnsi="Times New Roman"/>
          <w:sz w:val="24"/>
          <w:szCs w:val="24"/>
        </w:rPr>
        <w:t xml:space="preserve">деятельности </w:t>
      </w:r>
      <w:r w:rsidR="00953E82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430D08">
        <w:rPr>
          <w:rFonts w:ascii="Times New Roman" w:hAnsi="Times New Roman"/>
          <w:sz w:val="24"/>
          <w:szCs w:val="24"/>
        </w:rPr>
        <w:t xml:space="preserve"> города Сарапула</w:t>
      </w:r>
      <w:proofErr w:type="gramEnd"/>
      <w:r w:rsidR="00430D08">
        <w:rPr>
          <w:rFonts w:ascii="Times New Roman" w:hAnsi="Times New Roman"/>
          <w:sz w:val="24"/>
          <w:szCs w:val="24"/>
        </w:rPr>
        <w:t>);</w:t>
      </w:r>
    </w:p>
    <w:p w:rsidR="00430D08" w:rsidRDefault="00430D08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мероприятий подпрограмм муниципальных программ города Сарапула;</w:t>
      </w:r>
    </w:p>
    <w:p w:rsidR="00430D08" w:rsidRDefault="00430D08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направлений расходов.</w:t>
      </w:r>
    </w:p>
    <w:p w:rsidR="001B0FC3" w:rsidRDefault="001B0FC3" w:rsidP="001B0FC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Увязка </w:t>
      </w:r>
      <w:r w:rsidR="00B63D26"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sz w:val="24"/>
          <w:szCs w:val="24"/>
        </w:rPr>
        <w:t>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1B0FC3" w:rsidRDefault="001B0FC3" w:rsidP="001B0FC3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390"/>
        <w:gridCol w:w="563"/>
        <w:gridCol w:w="1286"/>
        <w:gridCol w:w="6769"/>
      </w:tblGrid>
      <w:tr w:rsidR="001B0FC3" w:rsidTr="00EA0330"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Муниципальная программа города Сарапула;</w:t>
            </w:r>
          </w:p>
        </w:tc>
      </w:tr>
      <w:tr w:rsidR="001B0FC3" w:rsidTr="00EA0330"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 города Сарапула;</w:t>
            </w:r>
          </w:p>
        </w:tc>
      </w:tr>
      <w:tr w:rsidR="001B0FC3" w:rsidTr="00EA0330"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ХХ</w:t>
            </w:r>
          </w:p>
        </w:tc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86" w:type="dxa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подпрограммы муниципальной программы города Сарапула</w:t>
            </w:r>
          </w:p>
        </w:tc>
      </w:tr>
      <w:tr w:rsidR="001B0FC3" w:rsidTr="00EA0330"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86" w:type="dxa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ХХХХХ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 xml:space="preserve">Направление расходов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E41A8A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 города Сарапула</w:t>
            </w:r>
            <w:proofErr w:type="gramEnd"/>
          </w:p>
        </w:tc>
      </w:tr>
    </w:tbl>
    <w:p w:rsidR="001B0FC3" w:rsidRDefault="001B0FC3" w:rsidP="001B0FC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Увязка направлений расходов с непрограммным направлением </w:t>
      </w:r>
      <w:proofErr w:type="gramStart"/>
      <w:r w:rsidR="00EA0330">
        <w:rPr>
          <w:rFonts w:ascii="Times New Roman" w:hAnsi="Times New Roman"/>
          <w:sz w:val="24"/>
          <w:szCs w:val="24"/>
        </w:rPr>
        <w:t xml:space="preserve">деятельности </w:t>
      </w:r>
      <w:r w:rsidR="00592780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устанавливается по следующей структуре кода целевой статьи:</w:t>
      </w:r>
    </w:p>
    <w:p w:rsidR="003072AF" w:rsidRDefault="003072AF" w:rsidP="001B0FC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FC3" w:rsidRDefault="001B0FC3" w:rsidP="001B0FC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418"/>
        <w:gridCol w:w="575"/>
        <w:gridCol w:w="1276"/>
        <w:gridCol w:w="6769"/>
      </w:tblGrid>
      <w:tr w:rsidR="001B0FC3" w:rsidTr="00EA0330">
        <w:tc>
          <w:tcPr>
            <w:tcW w:w="533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9Х</w:t>
            </w:r>
          </w:p>
        </w:tc>
        <w:tc>
          <w:tcPr>
            <w:tcW w:w="418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:rsidR="001B0FC3" w:rsidRPr="00E41A8A" w:rsidRDefault="001B0FC3" w:rsidP="00EA033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B0FC3" w:rsidRPr="00E41A8A" w:rsidRDefault="00EA0330" w:rsidP="00E1725A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69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расходов;</w:t>
            </w:r>
          </w:p>
        </w:tc>
      </w:tr>
      <w:tr w:rsidR="001B0FC3" w:rsidTr="00EA0330">
        <w:tc>
          <w:tcPr>
            <w:tcW w:w="533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9Х</w:t>
            </w:r>
          </w:p>
        </w:tc>
        <w:tc>
          <w:tcPr>
            <w:tcW w:w="418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:rsidR="001B0FC3" w:rsidRPr="00E41A8A" w:rsidRDefault="00EA0330" w:rsidP="00EA033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B0FC3" w:rsidRPr="00E41A8A" w:rsidRDefault="00EA0330" w:rsidP="00E1725A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ХХХХХ</w:t>
            </w:r>
          </w:p>
        </w:tc>
        <w:tc>
          <w:tcPr>
            <w:tcW w:w="6769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Направления реализации непрограммных расходов</w:t>
            </w:r>
          </w:p>
        </w:tc>
      </w:tr>
    </w:tbl>
    <w:p w:rsidR="001B0FC3" w:rsidRDefault="001B0FC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268" w:rsidRDefault="00E45288" w:rsidP="00394268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Отражение р</w:t>
      </w:r>
      <w:r w:rsidR="00DF51F1">
        <w:rPr>
          <w:rFonts w:ascii="Times New Roman" w:hAnsi="Times New Roman"/>
          <w:sz w:val="24"/>
          <w:szCs w:val="24"/>
        </w:rPr>
        <w:t>асход</w:t>
      </w:r>
      <w:r>
        <w:rPr>
          <w:rFonts w:ascii="Times New Roman" w:hAnsi="Times New Roman"/>
          <w:sz w:val="24"/>
          <w:szCs w:val="24"/>
        </w:rPr>
        <w:t>ов</w:t>
      </w:r>
      <w:r w:rsidR="00DF51F1">
        <w:rPr>
          <w:rFonts w:ascii="Times New Roman" w:hAnsi="Times New Roman"/>
          <w:sz w:val="24"/>
          <w:szCs w:val="24"/>
        </w:rPr>
        <w:t xml:space="preserve"> бюджета города Сарапула</w:t>
      </w:r>
      <w:r w:rsidR="00806B74">
        <w:rPr>
          <w:rFonts w:ascii="Times New Roman" w:hAnsi="Times New Roman"/>
          <w:sz w:val="24"/>
          <w:szCs w:val="24"/>
        </w:rPr>
        <w:t xml:space="preserve">, источником финансового обеспечения которых являются </w:t>
      </w:r>
      <w:r w:rsidR="00DF51F1">
        <w:rPr>
          <w:rFonts w:ascii="Times New Roman" w:hAnsi="Times New Roman"/>
          <w:sz w:val="24"/>
          <w:szCs w:val="24"/>
        </w:rPr>
        <w:t xml:space="preserve">субвенции, субсидии, иные </w:t>
      </w:r>
      <w:r w:rsidR="00806B74">
        <w:rPr>
          <w:rFonts w:ascii="Times New Roman" w:hAnsi="Times New Roman"/>
          <w:sz w:val="24"/>
          <w:szCs w:val="24"/>
        </w:rPr>
        <w:t>межбюджетные трансферты, имеющие целевое назначение, предоставляемые из федерального бюджета,</w:t>
      </w:r>
      <w:r>
        <w:rPr>
          <w:rFonts w:ascii="Times New Roman" w:hAnsi="Times New Roman"/>
          <w:sz w:val="24"/>
          <w:szCs w:val="24"/>
        </w:rPr>
        <w:t xml:space="preserve"> бюджета Удмуртской Республики,</w:t>
      </w:r>
      <w:r w:rsidR="00806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 w:rsidR="00806B74">
        <w:rPr>
          <w:rFonts w:ascii="Times New Roman" w:hAnsi="Times New Roman"/>
          <w:sz w:val="24"/>
          <w:szCs w:val="24"/>
        </w:rPr>
        <w:t xml:space="preserve"> по целевым статьям</w:t>
      </w:r>
      <w:r>
        <w:rPr>
          <w:rFonts w:ascii="Times New Roman" w:hAnsi="Times New Roman"/>
          <w:sz w:val="24"/>
          <w:szCs w:val="24"/>
        </w:rPr>
        <w:t xml:space="preserve"> бюджета города Сарапула</w:t>
      </w:r>
      <w:r w:rsidR="00806B74">
        <w:rPr>
          <w:rFonts w:ascii="Times New Roman" w:hAnsi="Times New Roman"/>
          <w:sz w:val="24"/>
          <w:szCs w:val="24"/>
        </w:rPr>
        <w:t>, включа</w:t>
      </w:r>
      <w:r w:rsidR="00B0527A">
        <w:rPr>
          <w:rFonts w:ascii="Times New Roman" w:hAnsi="Times New Roman"/>
          <w:sz w:val="24"/>
          <w:szCs w:val="24"/>
        </w:rPr>
        <w:t>ющим</w:t>
      </w:r>
      <w:r w:rsidR="00806B74">
        <w:rPr>
          <w:rFonts w:ascii="Times New Roman" w:hAnsi="Times New Roman"/>
          <w:sz w:val="24"/>
          <w:szCs w:val="24"/>
        </w:rPr>
        <w:t xml:space="preserve"> коды направлений расходов (1</w:t>
      </w:r>
      <w:r w:rsidR="009A3A5D">
        <w:rPr>
          <w:rFonts w:ascii="Times New Roman" w:hAnsi="Times New Roman"/>
          <w:sz w:val="24"/>
          <w:szCs w:val="24"/>
        </w:rPr>
        <w:t>3</w:t>
      </w:r>
      <w:r w:rsidR="00806B74">
        <w:rPr>
          <w:rFonts w:ascii="Times New Roman" w:hAnsi="Times New Roman"/>
          <w:sz w:val="24"/>
          <w:szCs w:val="24"/>
        </w:rPr>
        <w:t xml:space="preserve"> – 1</w:t>
      </w:r>
      <w:r w:rsidR="009A3A5D">
        <w:rPr>
          <w:rFonts w:ascii="Times New Roman" w:hAnsi="Times New Roman"/>
          <w:sz w:val="24"/>
          <w:szCs w:val="24"/>
        </w:rPr>
        <w:t>7</w:t>
      </w:r>
      <w:r w:rsidR="00806B74">
        <w:rPr>
          <w:rFonts w:ascii="Times New Roman" w:hAnsi="Times New Roman"/>
          <w:sz w:val="24"/>
          <w:szCs w:val="24"/>
        </w:rPr>
        <w:t xml:space="preserve"> разряды кода расходов бюджета), </w:t>
      </w:r>
      <w:r>
        <w:rPr>
          <w:rFonts w:ascii="Times New Roman" w:hAnsi="Times New Roman"/>
          <w:sz w:val="24"/>
          <w:szCs w:val="24"/>
        </w:rPr>
        <w:t>идентичные коду соответствующих направлений расходов федерального бюджета, бюджета Удмуртской Республики, по которым отражаются расходы бюджета соответствующего уровня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не включает указание на наименование межбюджетного трансферта, являющегося источником финансового обеспечения расходов бюджета города Сарапула.</w:t>
      </w:r>
    </w:p>
    <w:p w:rsidR="00AD4FA0" w:rsidRDefault="00AD4FA0" w:rsidP="00AD4F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4FA0" w:rsidRPr="00A148FD" w:rsidRDefault="00AD4FA0" w:rsidP="00AD4F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A148FD">
        <w:rPr>
          <w:rFonts w:ascii="Times New Roman" w:hAnsi="Times New Roman"/>
          <w:b/>
          <w:sz w:val="24"/>
          <w:szCs w:val="24"/>
        </w:rPr>
        <w:t xml:space="preserve">Перечень и коды целевых </w:t>
      </w:r>
      <w:proofErr w:type="gramStart"/>
      <w:r w:rsidRPr="00A148FD">
        <w:rPr>
          <w:rFonts w:ascii="Times New Roman" w:hAnsi="Times New Roman"/>
          <w:b/>
          <w:sz w:val="24"/>
          <w:szCs w:val="24"/>
        </w:rPr>
        <w:t>статей расходов бюджета города Сарапула</w:t>
      </w:r>
      <w:proofErr w:type="gramEnd"/>
    </w:p>
    <w:p w:rsidR="00AD4FA0" w:rsidRPr="00A148FD" w:rsidRDefault="00AD4FA0" w:rsidP="00AD4F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AD4FA0" w:rsidRPr="00A148FD" w:rsidTr="008D3A34">
        <w:trPr>
          <w:trHeight w:val="489"/>
          <w:tblHeader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целевой статьи расходов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«Развитие образования и воспитание» на 2015 – 202</w:t>
            </w:r>
            <w:r w:rsidR="0051142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основных общеобразовательных программ дошкольного воспитания, присмотр и уход за детьми»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01 1 02 00310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0547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01 1 02 60200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556D7F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556D7F" w:rsidRDefault="00556D7F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01 1 02 60240</w:t>
            </w:r>
          </w:p>
        </w:tc>
        <w:tc>
          <w:tcPr>
            <w:tcW w:w="7621" w:type="dxa"/>
            <w:shd w:val="clear" w:color="auto" w:fill="auto"/>
          </w:tcPr>
          <w:p w:rsidR="00556D7F" w:rsidRDefault="00556D7F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01 1 02 67700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01 1 03 00000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«Материальная поддержка семей с детьми дошкольного возраста»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01 1 03 04240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01 1 03 04480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01 1 03 07120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реализацию мероприятий по присмотру и уходу за детьми – инвалидами, детьми –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01 1 05 00000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«Укрепление материально – технической базы муниципальных дошкольных образовательных организаций»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01 1 05 05170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другие мероприятия в рамках создания доступной среды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01 1 05 60230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01 1 05 61120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основных фондов и развитие инфраструктуры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01 1 06 00000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обогащенными продуктами питания, в том числе молоком, молочной продукцией, соками и другими продуктами питания детей в образовательных учреждениях для детей дошкольного возраста, реализующих программы дошкольного образования»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06 67700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01 1 08 00000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«Мероприятия, направленные на обеспечение безопасности условий обучения детей в муниципальных общеобразовательных организациях»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01 1 08 61440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01 1 10 00000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«Строительство, реконструкция и капитальный ремонт дошкольных образовательных учреждений»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01 1 10 00820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01 1 10 00830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340445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340445" w:rsidRDefault="00340445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01 1 10 60140</w:t>
            </w:r>
          </w:p>
        </w:tc>
        <w:tc>
          <w:tcPr>
            <w:tcW w:w="7621" w:type="dxa"/>
            <w:shd w:val="clear" w:color="auto" w:fill="auto"/>
          </w:tcPr>
          <w:p w:rsidR="00340445" w:rsidRDefault="00340445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AD4FA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01 1 10 60150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01 1 10 21590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00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01 1 10 61590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00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1590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00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00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общего образования»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основных общеобразовательных программ начального общего, основного общего, среднего общего образования»</w:t>
            </w:r>
          </w:p>
        </w:tc>
      </w:tr>
      <w:tr w:rsidR="00766112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766112" w:rsidRPr="00A148FD" w:rsidRDefault="00766112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01 2 01 00310</w:t>
            </w:r>
          </w:p>
        </w:tc>
        <w:tc>
          <w:tcPr>
            <w:tcW w:w="7621" w:type="dxa"/>
            <w:shd w:val="clear" w:color="auto" w:fill="auto"/>
          </w:tcPr>
          <w:p w:rsidR="00766112" w:rsidRDefault="00766112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01 04310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766112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766112" w:rsidRDefault="00766112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01 2 01 04981</w:t>
            </w:r>
          </w:p>
        </w:tc>
        <w:tc>
          <w:tcPr>
            <w:tcW w:w="7621" w:type="dxa"/>
            <w:shd w:val="clear" w:color="auto" w:fill="auto"/>
          </w:tcPr>
          <w:p w:rsidR="00766112" w:rsidRDefault="00766112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культурно – массовых мероприятий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00A31" w:rsidRPr="00A148FD" w:rsidTr="00556D7F">
        <w:trPr>
          <w:cantSplit/>
          <w:trHeight w:val="248"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F82889">
        <w:trPr>
          <w:cantSplit/>
          <w:trHeight w:val="266"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01 2 01 61620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000A31" w:rsidRDefault="00000A31" w:rsidP="00F828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000A31" w:rsidRPr="00A148FD" w:rsidTr="008D3A34">
        <w:trPr>
          <w:cantSplit/>
          <w:trHeight w:val="489"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01 2 02 00000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организациях»</w:t>
            </w:r>
            <w:proofErr w:type="gramEnd"/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01 2 02 04330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адаптированных основных общеобразовательных программ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01 2 02 60200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F82889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01 2 02 61620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000A31" w:rsidRDefault="00000A31" w:rsidP="00F828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«Социальная поддержка детей – сирот и детей, оставшихся без попечения родителей, обучающихся и воспитывающихся в муниципальных организациях для детей – сирот и детей, оставшихся без попечения родителей»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01 2 03 00310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Укрепление материально – технической базы образовательных учреждений для детей – сирот и детей, оставшихся без попечения родителей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438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адаптированных общеобразовательных программ дошкольного образования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01 2 03 60200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23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«Укрепление материально – технической базы муниципальных общеобразовательных организаций»</w:t>
            </w:r>
          </w:p>
        </w:tc>
      </w:tr>
      <w:tr w:rsidR="00766112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766112" w:rsidRDefault="00766112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01 2 04 04982</w:t>
            </w:r>
          </w:p>
        </w:tc>
        <w:tc>
          <w:tcPr>
            <w:tcW w:w="7621" w:type="dxa"/>
            <w:shd w:val="clear" w:color="auto" w:fill="auto"/>
          </w:tcPr>
          <w:p w:rsidR="00766112" w:rsidRDefault="00766112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общеобразовательных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01 2 04 07210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образовательных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01 2 04 60230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766112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766112" w:rsidRDefault="00766112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01 2 04 61120</w:t>
            </w:r>
          </w:p>
        </w:tc>
        <w:tc>
          <w:tcPr>
            <w:tcW w:w="7621" w:type="dxa"/>
            <w:shd w:val="clear" w:color="auto" w:fill="auto"/>
          </w:tcPr>
          <w:p w:rsidR="00766112" w:rsidRDefault="00766112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основных фондов и развитие инфраструктуры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«Организация питания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01 2 06 06960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завтраком, в том числе из обогащенных продуктов, включая молочные, учащихся 1 – 5 классов общеобразовательных учреждений и обеспечение питанием учащихся 1 – 11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06 61210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завтраком, в том числе из обогащенных продуктов, включая молочные, учащихся 1 – 5 классов общеобразовательных учреждений и обеспечение питанием учащихся 1 – 11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06 61220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обогащенными продуктами питания, в том числе молоком, молочной продукцией, соками и другими продуктами питания детей в учреждении, реализующем основную общеобразовательную программу дошкольного образования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A3BFA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01 2 06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завтраком, в том числе из обогащенных продуктов, включая молочные, учащихся 1 – 5 классов общеобразовательных учреждений и обеспечение питанием учащихся 1 – 11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01 2 06 60150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01 2 08 00000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«Мероприятия, направленные на обеспечение безопасности условий обучения детей в муниципальных общеобразовательных организациях»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01 2 08 04960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01 2 08 61440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«Строительство, реконструкция и капитальный ремонт общеобразовательных учреждений»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01 2 10 00830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01 2 10 60150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A3BFA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01 2 10 62050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строительства и для целей, не связанных со строительством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дополнительного образования детей»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дополнительных общеобразовательных общеразвивающих программ»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01 3 01 06950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муниципальных учреждений города Сарапула в конкурсах, смотрах, соревнованиях, турнирах и т.п. мероприятиях на городском, республиканском, межрегиональном и российском уровнях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3A3BFA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01 3 01 07850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01 60200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01 3 01 60240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01 3 01 61620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01 3 01 67700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01 3 06 00000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«Укрепление материально – технической базы муниципальных образовательных организаций дополнительного образования детей»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01 3 06 60230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01 3 18 00000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«Мероприятия, направленные на обеспечение безопасности детей в учреждениях дополнительного образования»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01 3 18 61440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34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«Расходы на обеспечение персонифицированного финансирования дополнительного образования детей»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01 3 19 61330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01 4 01 60240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01 4 02 00000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занятости подростков и молодежи в каникулярный период»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02 61430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трудоустройства подростков и молодежи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каникулярный период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«Координация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работы служб системы профилактики правонарушений несовершеннолетних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000A31" w:rsidRPr="00A148FD" w:rsidTr="008D3A34">
        <w:trPr>
          <w:cantSplit/>
          <w:trHeight w:val="489"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01 4 03 04350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деятельности комиссии по делам несовершеннолетних и защите их прав города Сарапула (выполнение переданных государственных полномочий Удмуртской Республики)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системой образования города Сарапула»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Управлением образования г. Сарапула, организация управления муниципальной программой «Развитие образования и воспитание»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01 60030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Управления образования г. Сарапула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01 5 01 60200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01 5 01 60240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01 5 02 00000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бухгалтерского учета и обеспечение содержания зданий и сооружений муниципальных образовательных организаций, обустройство прилегающих к ним территорий в муниципальных образовательных организациях, подведомственных Управлению образования»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02 60120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централизованной бухгалтерии учреждений образования г. Сарапула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02 60210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хозяйственно – эксплуатационной группы Управления образования г. Сарапула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01 5 02 60240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«Предоставление консультационных и методических услуг»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01 5 03 60161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Default="00000A31" w:rsidP="00F82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квалификации работников учреждений бюджетной сферы города Сарапула</w:t>
            </w:r>
            <w:proofErr w:type="gramEnd"/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01 5 03 61620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Default="00000A31" w:rsidP="00F82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01 5 03 67700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01 5 04 00000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 мероприятие  «Профилактика  и  коррекция  нарушений  речи  у  детей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vMerge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nil"/>
            </w:tcBorders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дошкольного возраста; профилактика и коррекция нарушений чтения и письма у детей младшего школьного возраста»</w:t>
            </w:r>
          </w:p>
        </w:tc>
      </w:tr>
      <w:tr w:rsidR="00766112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766112" w:rsidRDefault="00766112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01 5 04 60200</w:t>
            </w:r>
          </w:p>
        </w:tc>
        <w:tc>
          <w:tcPr>
            <w:tcW w:w="7621" w:type="dxa"/>
            <w:shd w:val="clear" w:color="auto" w:fill="auto"/>
          </w:tcPr>
          <w:p w:rsidR="00766112" w:rsidRDefault="00766112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01 5 04 67700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01 5 05 00000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сохранности и учет архивных документов»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01 5 05 67700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01 5 06 00000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415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повышения квалификации педагогических работников, руководителей муниципальных образовательных учреждений города Сарапула»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01 5 06 01820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дополнительное профессиональное образование по профилю педагогической деятельности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Сохранение здоровья и формирование здорового образа жизни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 2015-2021 годы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Подпрограмма «Формирование здорового образа жизни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населения, профилактика заболеваний, немедицинского потребления наркотиков и других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веществ»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и проведение официальных физкультурных (физкультурно – оздоровительных мероприятий)»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01 64600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мероприятий физической культуры и спорта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01 64610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мероприятий массового спорта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«Содействие субъектам профилактики в организации и проведении мероприятий, направленных на профилактику употребления наркотиков и предотвращение незаконного распространения наркотических и психотропных веществ»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02 1 02 61500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Выпуск и распространение информационно – разъяснительных печатных материалов антинаркотической направленности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«Внедрение Всероссийского физкультурно – спортивного комплекса «Готов к труду и обороне» в городе Сарапуле»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03 64630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работы центра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«Готов к труду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обороне»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02 1 04 00000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«Содействие в организации системы санитарно – противоэпидемиологических мероприятий в городе (содействие в работе санитарно – противоэпидемиологической комиссии Администрации города Сарапула, выпуск и распространение санитарно – просветительских материалов)»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02 1 04 61510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Выпуск и распространение информационно – разъяснительных печатных материалов санитарно - противоэпидемиологической направленности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«Организация отдыха детей в каникулярное время»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02 2 01 00000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и обеспечение отдыха детей в каникулярное время»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02 2 01 05230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отдыха, оздоровления и занятости детей, подростков и молодежи в каникулярное время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02 2 01 60140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01 61450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отдыха детей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дневных оздоровительных лагерях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02 2 01 61470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34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Профильная смена лидеров ученических самоуправлений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02 2 01 71450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34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отдыха детей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дневных оздоровительных лагерях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02 2 05 00000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«Проведение капитального ремонта объектов муниципальной собственности»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02 2 05 64660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ремонту ДОЛ «Орленок»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условий для развития физической культуры и спорта»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доступа к открытым спортивным объектам для свободного пользования и обеспечение доступа к закрытым спортивным объектам для свободного пользования в течение ограниченного времени»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02 3 01 60230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«Строительство, реконструкция и капитальный ремонт объектов физической культуры и спорта»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02 3 02 00820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02 3 02 00830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02 3 02 05700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 (долевое участие в рамках ГЧП)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02 3 02 60140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02 3 02 60200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02 3 02 64650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 (долевое участие в рамках ГЧП)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02 3 02 65700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A3BFA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A3BFA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 (долевое участие в рамках ГЧП)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«Разработка и реализация программ спортивной подготовки»</w:t>
            </w:r>
          </w:p>
        </w:tc>
      </w:tr>
      <w:tr w:rsidR="00766112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766112" w:rsidRDefault="00766112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02 3 03 60200</w:t>
            </w:r>
          </w:p>
        </w:tc>
        <w:tc>
          <w:tcPr>
            <w:tcW w:w="7621" w:type="dxa"/>
            <w:shd w:val="clear" w:color="auto" w:fill="auto"/>
          </w:tcPr>
          <w:p w:rsidR="00766112" w:rsidRDefault="00766112" w:rsidP="00823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02 3 03 67700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23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сферой физической культуры и спорта»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Управлением физической культуры и спорта г. Сарапула, организация управления муниципальной программой «Сохранение здоровья и формирование здорового образа жизни»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01 60030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исполнения полномочий центрального аппарата органов местного самоуправления</w:t>
            </w:r>
            <w:proofErr w:type="gramEnd"/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02 4 02 00000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бухгалтерского учета в муниципальных учреждениях, подведомственных Управлению физической культуры и спорта г. Сарапула»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02 60120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Обеспечение  бухгалтерского   обслуживания   учреждений,   подведомственных 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vMerge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nil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Управлению физической культуры и спорта г. Сарапула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02 4 02 60200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«Развитие культуры»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«Библиотечное обслуживание населения»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библиотечной деятельности»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A3BFA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03 1 01 07850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03 1 01 61680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и подписка на периодические издания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03 1 01 60230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03 1 01 62370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другие мероприятия в рамках создания доступной среды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4F21C0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8545C" w:rsidRDefault="00000A31" w:rsidP="0038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03 1 01 </w:t>
            </w:r>
            <w:r w:rsidRPr="0038545C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7621" w:type="dxa"/>
            <w:shd w:val="clear" w:color="auto" w:fill="auto"/>
          </w:tcPr>
          <w:p w:rsidR="00000A31" w:rsidRPr="0038545C" w:rsidRDefault="00000A31" w:rsidP="00A82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и подписка на периодические издания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«Организация досуга и предоставление услуг организаций культуры»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театральной деятельности»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A3BFA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03 2 01 07850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03 2 01 60200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03 2 01 60240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4F21C0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8545C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03 2 01 </w:t>
            </w:r>
            <w:r w:rsidRPr="0038545C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L4660</w:t>
            </w:r>
          </w:p>
        </w:tc>
        <w:tc>
          <w:tcPr>
            <w:tcW w:w="7621" w:type="dxa"/>
            <w:shd w:val="clear" w:color="auto" w:fill="auto"/>
          </w:tcPr>
          <w:p w:rsidR="00000A31" w:rsidRPr="0038545C" w:rsidRDefault="00000A31" w:rsidP="00A82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Поддержка творческой деятельности муниципальных театров в городах с численностью населения до 300 тыс. человек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культурно – досуговой деятельности»</w:t>
            </w:r>
          </w:p>
        </w:tc>
      </w:tr>
      <w:tr w:rsidR="00195F5F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195F5F" w:rsidRPr="00195F5F" w:rsidRDefault="00195F5F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03 2 02 00310</w:t>
            </w:r>
          </w:p>
        </w:tc>
        <w:tc>
          <w:tcPr>
            <w:tcW w:w="7621" w:type="dxa"/>
            <w:shd w:val="clear" w:color="auto" w:fill="auto"/>
          </w:tcPr>
          <w:p w:rsidR="00195F5F" w:rsidRDefault="00195F5F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38545C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03 2 02 00830</w:t>
            </w:r>
          </w:p>
        </w:tc>
        <w:tc>
          <w:tcPr>
            <w:tcW w:w="7621" w:type="dxa"/>
            <w:shd w:val="clear" w:color="auto" w:fill="auto"/>
          </w:tcPr>
          <w:p w:rsidR="00000A31" w:rsidRPr="0038545C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03 2 02 07850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03 2 02 60250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оборудования и основных средств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03 2 02 61620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F82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03 2 02 61690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городских мероприятий, торжественных церемоний, проектов, праздников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02 64240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мероприятий, посвященных государственным праздникам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02 64250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плана практических мероприятий концепции развития парка Победы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 2015-2020 годы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195F5F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195F5F" w:rsidRPr="00195F5F" w:rsidRDefault="00195F5F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shd w:val="clear" w:color="auto" w:fill="auto"/>
          </w:tcPr>
          <w:p w:rsidR="00195F5F" w:rsidRPr="00195F5F" w:rsidRDefault="00195F5F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«Сохранение и развитие музейного дела»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музейной деятельности»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03 3 01 07850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03 3 01 60230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03 3 01 60240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195F5F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195F5F" w:rsidRPr="00A148FD" w:rsidRDefault="00195F5F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03 3 03 00000</w:t>
            </w:r>
          </w:p>
        </w:tc>
        <w:tc>
          <w:tcPr>
            <w:tcW w:w="7621" w:type="dxa"/>
            <w:shd w:val="clear" w:color="auto" w:fill="auto"/>
          </w:tcPr>
          <w:p w:rsidR="00195F5F" w:rsidRPr="00A148FD" w:rsidRDefault="00195F5F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«Проведение реставрационных работ в художественно – выставочном комплексе «Дача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Башенина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195F5F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195F5F" w:rsidRPr="00A148FD" w:rsidRDefault="00195F5F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03 3 03 64280</w:t>
            </w:r>
          </w:p>
        </w:tc>
        <w:tc>
          <w:tcPr>
            <w:tcW w:w="7621" w:type="dxa"/>
            <w:shd w:val="clear" w:color="auto" w:fill="auto"/>
          </w:tcPr>
          <w:p w:rsidR="00195F5F" w:rsidRPr="00A148FD" w:rsidRDefault="00195F5F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работ по сохранению объекта культурного наследия федерального значения «Дача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Башенина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«Сохранение, использование и популяризация объектов культурного наследия»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Музеефикация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городского пространства»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03 4 01 64210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Установка малых архитектурных и скульптурных форм для визуализации городской среды. Пополнение новыми экспонатами модельной экспозиции – реконструкции «Деревянное зодчество Сарапула»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01 64220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Содержание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объектов культурного наследия, памятных и мемориальных мест, музейных кварталов и рекреационных зон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03 4 01 67700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C91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«Мероприятия по сохранению объектов культурного наследия»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03 4 13 64260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Изготовление проектной документации по сохранению объектов культурного наследия (стадия – эскизный проект) на объекты муниципальной собственности, находящиеся в неудовлетворительном состоянии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03 5 00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национальной политики, развитие местного народного творчества»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деятельности по реализации национальной политики, развитию местного народного творчества»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03 5 01 00450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 (иные зрелищные мероприятия)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03 5 01 52360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реализацию проектов (программ) в сфере государственной национальной политики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сферой культуры»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организационной деятельности»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01 60030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установленных полномочий (функций) Управлением культуры и молодежной политики г. Сарапула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01 60120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бухгалтерского учета в муниципальных учреждениях культуры города Сарапула централизованной бухгалтерией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03 6 01 60200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03 6 01 64270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Хозяйственно-эксплуатационное обеспечение деятельности подведомственных учреждений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«Социальная поддержка населения»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04 1 00 00000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«Социальная поддержка семьи и детей»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«Выполнение переданных государственных полномочий по учету (регистрации) многодетных семей, предоставление мер социальной поддержки многодетным семьям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04 1 01 04340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 социальной поддержки многодетным семьям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04 1 01 04460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безвозмездных субсидий многодетным семьям, признанным нуждающимися в улучшении жилищных условий на строительство, реконструкцию, капитальный ремонт и приобретение жилых помещений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04 1 01 07560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учета (регистрации) многодетных семей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04 1 02 00000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«Выполнение переданных государственных полномочий по оказанию социальной поддержки семьям с детьми»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04 1 02 00310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Единовременная выплата при рождении двойни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02 04250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Материальное обеспечение приемной семьи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02 04260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Выплата денежных средств семьям опекунов (попечителей) на содержание подопечных детей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02 06330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ыплат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денежных средств на содержание усыновленных (удочеренных) детей</w:t>
            </w:r>
          </w:p>
        </w:tc>
      </w:tr>
      <w:tr w:rsidR="00000A31" w:rsidRPr="00A148FD" w:rsidTr="008D3A34">
        <w:trPr>
          <w:cantSplit/>
          <w:trHeight w:val="489"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04 1 02 07270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Выплата денежных средств на содержание ребенка, переданного в семью патронатного воспитателя, вознаграждения, причитающегося патронатному родителю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04 1 02 52600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Выплата единовременного пособия при всех формах устройства детей в семью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опеки и попечительства в отношении несовершеннолетних»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03 04420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Выявление, учет, устройство и защита прав и интересов несовершеннолетних детей, оставшихся без попечения родителей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04 1 04 00000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«Выполнение переданных государственных полномочий по организации социальной поддержки детей – сирот и детей, оставшихся без попечения родителей»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04 04410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социальной поддержки детей – сирот и детей, оставшихся без попечения родителей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Укрепление престижа семьи и ценностей семейного воспитания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05 61750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мероприятий, направленных на укрепление престижа семьи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04 1 06 00000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«Выполнение переданных государственных полномочий по оказанию детям – сиротам, и детям, оставшимся без попечения родителей, в обучении на курсах по подготовке к поступлению в образовательные учреждения высшего профессионального образования»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06 02160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Оплата обучения на подготовительных отделениях образовательных организаций высшего образования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04 1 08 00000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осуществления передаваемых полномочий в соответствии с Законом Удмуртской Республики от 14 марта 2013 года №8-РЗ «Обеспечение жилыми помещениями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04 1 08 05660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переданных государственных полномочий по обеспечению сохранности закрепленных жилых помещений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04 1 08 07860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выполнения переданных государственных полномочий по обеспечению сохранности закрепленных жилых помещений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04 1 09 00000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«Социальная поддержка по проезду на муниципальных маршрутах регулярных перевозок в городе Сарапуле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04 1 09 08350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меры социальной поддержки по проезду на муниципальных маршрутах регулярных перевозок в городе Сарапуле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CE7CA0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04 1 09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8350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512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меры социальной поддержки по проезду на муниципальных маршрутах регулярных перевозок в городе Сарапуле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«Социальная поддержка старшего поколения, ветеранов и инвалидов, иных категорий граждан»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«Оказание адресной помощи гражданам города Сарапула»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01 61760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адресной материальной помощи гражданам города Сарапула, находящимся в трудной жизненной ситуации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04 2 02 00000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«Предоставление меры социальной поддержки по проезду в общественном транспорте гражданам»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04 2 02 03630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регулярных перевозок по регулируемым тарифам в целях возмещения расходов, связанных с обеспечением равной доступности услуг общественного транспорта отдельным категориям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04 2 02 08100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 поддержки по проезду в общественном транспорте отдельным категориям граждан по социальному проездному билету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04 2 02 61720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 поддержки по проезду в общественном транспорте отдельным категориям граждан по социальному проездному билету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02 61770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меры социальной поддержки по проезду в общественном транспорте гражданам, не являющимся федеральными и региональными льготниками</w:t>
            </w:r>
          </w:p>
        </w:tc>
      </w:tr>
      <w:tr w:rsidR="00000A31" w:rsidRPr="001B694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621EE9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S8100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 поддержки по проезду в общественном транспорте отдельным категориям граждан по социальному проездному билету</w:t>
            </w:r>
          </w:p>
        </w:tc>
      </w:tr>
      <w:tr w:rsidR="00000A31" w:rsidRPr="001B694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1B694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04 2 03 00000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1B694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другие мероприятия в рамках создания доступной среды</w:t>
            </w:r>
          </w:p>
        </w:tc>
      </w:tr>
      <w:tr w:rsidR="00000A31" w:rsidRPr="001B694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1B694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04 2 03 62370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1B694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мероприятий по созданию доступной среды жизнедеятельности для инвалидов и других маломобильных групп населения</w:t>
            </w:r>
          </w:p>
        </w:tc>
      </w:tr>
      <w:tr w:rsidR="00000A31" w:rsidRPr="001B694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38545C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04 2 03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0270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1B694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для инвалидов и другие мероприятия в рамках создания доступной среды</w:t>
            </w:r>
          </w:p>
        </w:tc>
      </w:tr>
      <w:tr w:rsidR="00000A31" w:rsidRPr="001B694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1B694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694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04 3 00 00000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1B694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694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«Обеспечение жильем отдельных категорий граждан, стимулирование улучшения жилищных условий»</w:t>
            </w:r>
          </w:p>
        </w:tc>
      </w:tr>
      <w:tr w:rsidR="00000A31" w:rsidRPr="001B694D" w:rsidTr="008D3A34">
        <w:trPr>
          <w:cantSplit/>
        </w:trPr>
        <w:tc>
          <w:tcPr>
            <w:tcW w:w="1735" w:type="dxa"/>
            <w:tcBorders>
              <w:bottom w:val="nil"/>
            </w:tcBorders>
            <w:shd w:val="clear" w:color="auto" w:fill="auto"/>
            <w:vAlign w:val="center"/>
          </w:tcPr>
          <w:p w:rsidR="00000A31" w:rsidRPr="001B694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04 3 01 00000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1B694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«Прием заявлений и постановка на учет граждан, нуждающихся в жилых помещениях, предоставляемых по договорам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социального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00A31" w:rsidRPr="00A148FD" w:rsidTr="008D3A34">
        <w:trPr>
          <w:cantSplit/>
          <w:trHeight w:val="274"/>
        </w:trPr>
        <w:tc>
          <w:tcPr>
            <w:tcW w:w="1735" w:type="dxa"/>
            <w:tcBorders>
              <w:top w:val="nil"/>
            </w:tcBorders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найма. Ведение данного учета»</w:t>
            </w:r>
          </w:p>
        </w:tc>
      </w:tr>
      <w:tr w:rsidR="00000A31" w:rsidRPr="00A148FD" w:rsidTr="008D3A34">
        <w:trPr>
          <w:cantSplit/>
          <w:trHeight w:val="419"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01 04470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мер социальной поддержки по обеспечению жильем инвалидов войны и инвалидов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04 3 02 00000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«Предоставление жилых помещений»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02 51340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жильем отдельных категорий граждан, установленных Федеральным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законом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января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1995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5-ФЗ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«О ветеранах»,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vMerge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nil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 Указом Президента Российской Федерации от 07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мая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2008 года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714 «Об обеспечении жильем ветеранов Великой Отечественной войны 1941 – 1945 годов»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02 51350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621EE9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04 3 02 L0200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9F6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«Предоставление и льгот по оплате жилищно – коммунальных услуг (выполнение переданных полномочий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04 4 01 00000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доступности для населения стоимости жилищно – коммунальных услуг»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04 4 01 06800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(в отсутствие централизованного горячего водоснабжения) в связи с ограничением роста платы граждан за коммунальные услуги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«Создание условий для устойчивого экономического развития»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Подпрограмма «Создание условий для развития малого и среднего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предпринимательства»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05 1 01 00000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«Поддержка и стимулирование малого и среднего предпринимательства»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05 1 01 04740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поддержке и стимулированию малого и среднего предпринимательства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05 1 01 50640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поддержке и стимулированию малого и среднего предпринимательства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6182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поддержке и стимулированию малого и среднего предпринимательства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CE7CA0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L5270</w:t>
            </w:r>
          </w:p>
        </w:tc>
        <w:tc>
          <w:tcPr>
            <w:tcW w:w="7621" w:type="dxa"/>
            <w:shd w:val="clear" w:color="auto" w:fill="auto"/>
          </w:tcPr>
          <w:p w:rsidR="00000A31" w:rsidRPr="00DB2D7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DB2D7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B2D7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05 2 00 00000   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B2D7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благоприятных условий для привлечения инвестиций»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«Формирование благоприятного инвестиционного имиджа города Сарапула как территории, привлекательной для инвестирования и ведения бизнеса» 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644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Участие муниципального образования «Город Сарапул» и организация участия предприятий города 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ярмарочных мероприятиях и форумах, направленных на повышение конкурентоспособности и инвестиционной привлекательности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Сарапула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как на территории Удмуртской Республики, так и в России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05 2 05 00000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«Содействие в повышении инвестиционной грамотности участников инвестиционного процесса»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05 2 05 64490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семинаров, курсов обучения, реализация программ в сфере ГЧП, МЧП, концессии для представителей предприятий, организаций, субъектов МСП города 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05 2 10 00000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CE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мероприятий, направленных на формирование положительного инвестиционного имиджа города»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05 2 10 64460</w:t>
            </w:r>
          </w:p>
        </w:tc>
        <w:tc>
          <w:tcPr>
            <w:tcW w:w="7621" w:type="dxa"/>
            <w:shd w:val="clear" w:color="auto" w:fill="auto"/>
          </w:tcPr>
          <w:p w:rsidR="00000A31" w:rsidRPr="00CE7CA0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POST</w:t>
            </w:r>
            <w:r w:rsidRPr="00CE7CA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материалов и подготовка экспозиций для участия 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-ярмарочных мероприятий и форумах, направленных на повышение конкурентоспособности и инвестиционной привлекательности Сарапула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«Поддержка и взаимодействие общественных организаций и объединений граждан, действующих на территории МО «Город Сарапул»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05 3 01 00000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«Поддержка социально – значимых проектов и программ»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01 64410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поддержки проектов и программ, возрождение национального самосознания, гражданственности, патриотизма, формирование здорового образа жизни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05 3 04 00000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«Проведение городских конкурсов проектов социально ориентированных некоммерческих организаций»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04 64420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Организационное сопровождение в подготовке и реализации конкурсных проектов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05 4 02 00000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«Создание туристических объектов и инфраструктуры к ним»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05 4 02 00820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B17711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31" w:rsidRPr="00B1771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177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05 4 02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64450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000A31" w:rsidRPr="00B1771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комплекса обеспечивающей инфраструктуры туристско – рекреационного кластера «Камский берег»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621EE9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05 4 02 L1100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B1771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комплекса обеспечивающей инфраструктуры туристско – рекреационного кластера «Камский берег»</w:t>
            </w:r>
          </w:p>
        </w:tc>
      </w:tr>
      <w:tr w:rsidR="00000A31" w:rsidRPr="00A148FD" w:rsidTr="00A82F8D">
        <w:trPr>
          <w:cantSplit/>
          <w:trHeight w:val="734"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05 4 03 00000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    мероприятие     «Содействие    в     формировании    и    продвижении </w:t>
            </w:r>
          </w:p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конкурентоспособного туристического продукта, обеспечивающего позитивный имидж и узнаваемость города на туристском рынке»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03 64430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МО «Город Сарапул» и организация участия предприятий города в выставочных мероприятиях и форумах, направленных на повышение узнаваемости города Сарапула на туристическом рынке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05 4 03 64460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CE7CA0" w:rsidRDefault="00000A31" w:rsidP="00E36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POST</w:t>
            </w:r>
            <w:r w:rsidRPr="00CE7CA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материалов и подготовка экспозиций для участия 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-ярмарочных мероприятий и форумах, направленных на повышение узнаваемости города Сарапула на туристическом рынке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05 4 03 64490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Содействие в создании и осуществлении деятельности туристского информационного центра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05 4 04 00000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«Содействие повышению качества туристских услуг, создание комфортных условий пребывание туриста на территории муниципального образования «Город Сарапул»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05 4 04 64440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Разработка единого стандарта представления информации для туристов и информационных вывесок к объектам туризма</w:t>
            </w:r>
          </w:p>
        </w:tc>
      </w:tr>
      <w:tr w:rsidR="00000A31" w:rsidRPr="00A148FD" w:rsidTr="00511424">
        <w:trPr>
          <w:cantSplit/>
          <w:trHeight w:val="734"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«Предупреждение и ликвидация последствий чрезвычайных ситуаций, реализация мер пожарной безопасности»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01 61920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функционирования органа управления в области гражданской обороны, защиты населения и территории от чрезвычайных ситуаций природного и техногенного характера Муниципального казенного учреждения «Служба гражданской защиты г. Сарапула»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01 61930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резерва финансовых средств на проведение мероприятий по предотвращению чрезвычайных ситуаций природного и техногенного характера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06 0 02 00000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«Поддержание в состоянии постоянной готовности к использованию системы оповещения населения муниципального образования «Город Сарапул»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02 61940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Размещение и техническое обслуживание аппаратуры оповещения гражданской обороны МО «Город Сарапул»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03 61950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Изготовление и размещение аншлагов «Купание запрещено»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«Городское хозяйство»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Подпрограмма «Территориальное развитие (градостроительство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землеустройство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«Выполнение полномочий в области градостроительства, архитектуры и землеустройства»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07 1 01 62070</w:t>
            </w:r>
          </w:p>
        </w:tc>
        <w:tc>
          <w:tcPr>
            <w:tcW w:w="7621" w:type="dxa"/>
            <w:shd w:val="clear" w:color="auto" w:fill="auto"/>
          </w:tcPr>
          <w:p w:rsidR="00000A31" w:rsidRPr="00FB76B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B76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FB76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утверждение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внесение изменений в документацию по планировке территорий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«Содержание и развитие коммунальной инфраструктуры»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7621" w:type="dxa"/>
            <w:shd w:val="clear" w:color="auto" w:fill="auto"/>
          </w:tcPr>
          <w:p w:rsidR="00000A31" w:rsidRPr="00093A68" w:rsidRDefault="00000A31" w:rsidP="008D3A3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«Поддержка и развитие коммунальной инфраструктуры»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07 2 01 00820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07 2 01 00830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07 2 01 01440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подготовки городского хозяйства к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осенне – зимнему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периоду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07 2 01 05730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Технологическое присоединение к сетям теплоснабжения жилого дома               ул. Памяти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Баржевиков</w:t>
            </w:r>
            <w:proofErr w:type="spellEnd"/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07 2 01 08000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982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07 2 01 08200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 за счет средств некоммерческой организации «Фонд развития моногородов»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07 2 01 60140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07 2 01 60150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07 2 01 62220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подготовки городского хозяйства к </w:t>
            </w: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осенне – зимнему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периоду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программы комплексного развития коммунальной инфраструктуры города Сарапула</w:t>
            </w:r>
            <w:proofErr w:type="gramEnd"/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07 2 01 62240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объектов коммунального хозяйства в муниципальную собственность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07 2 01 62250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512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техники коммунального назначения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E360D6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S0820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512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621EE9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2 01 S1440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подготовки городского хозяйства к </w:t>
            </w: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осенне – зимнему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периоду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9828BA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«Газификация города Сарапула»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07 2 02 00820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07 2 02 62210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газификации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07 2 02 72210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газификации за счет средств населения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«Жилищное хозяйство»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отдельных полномочий в сфере жилищного хозяйства»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01 06200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осуществление отдельных государственных полномочий по государственному жилищному надзору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07 3 01 60140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07 3 01 60150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мероприятий по переселению граждан из аварийного жилищного фонда»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07 3 02 09502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07 3 02 09602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 бюджетов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07 3 02 86020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34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 бюджетов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663FE9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S9602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 бюджетов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07 3 03 00000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мероприятия «Осуществление мероприятий по проведению капитального ремонта общего имущества в многоквартирных домах»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621EE9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07 3 03 00830</w:t>
            </w:r>
          </w:p>
        </w:tc>
        <w:tc>
          <w:tcPr>
            <w:tcW w:w="7621" w:type="dxa"/>
            <w:shd w:val="clear" w:color="auto" w:fill="auto"/>
          </w:tcPr>
          <w:p w:rsidR="00000A31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663FE9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07 3 03 09501</w:t>
            </w:r>
          </w:p>
        </w:tc>
        <w:tc>
          <w:tcPr>
            <w:tcW w:w="7621" w:type="dxa"/>
            <w:shd w:val="clear" w:color="auto" w:fill="auto"/>
          </w:tcPr>
          <w:p w:rsidR="00000A31" w:rsidRPr="00663FE9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ЖКХ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03 86010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полномочий собственника жилых помещений в многоквартирных домах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E360D6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«Благоустройство и охрана окружающей среды»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07 4 01 00000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отдельных полномочий в сфере благоустройства»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07 4 01 04290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благоустройства территории городских округов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01 05400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отлова и содержания безнадзорных животных (выполнение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переданных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полномочий)</w:t>
            </w:r>
          </w:p>
        </w:tc>
      </w:tr>
      <w:tr w:rsidR="00000A31" w:rsidRPr="00526016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526016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07 4 01 50270</w:t>
            </w:r>
          </w:p>
        </w:tc>
        <w:tc>
          <w:tcPr>
            <w:tcW w:w="7621" w:type="dxa"/>
            <w:shd w:val="clear" w:color="auto" w:fill="auto"/>
          </w:tcPr>
          <w:p w:rsidR="00000A31" w:rsidRPr="00526016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в рамках создания доступной среды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07 4 01 60200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07 4 01 60240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01 62360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Текущее содержание и ремонт сетей уличного освещения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01 62370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других мероприятий в рамках создания доступной среды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07 4 01 62380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выявлению бесхозяйных гидротехнических сооружений, организации постановки в установленном порядке таких объектов на учет в качестве бесхозяйных, признанию права муниципальной собственности и организация управления такими с момента их выявления</w:t>
            </w:r>
          </w:p>
        </w:tc>
      </w:tr>
      <w:tr w:rsidR="00000A31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07 4 01 62390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000A31" w:rsidP="00982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Обустройство мест массового отдыха населения (городских парков)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07 4 01 64290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E1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благоустройства территории городских округов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340445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2390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Обустройство мест массового отдыха населения (городских парков)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E360D6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4290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благоустройства территории городских округов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«Дорожное хозяйство и транспортное обслуживание населения»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отдельных полномочий в сфере дорожного хозяйства и транспортного обслуживания населения»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01 60200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07 5 01 60240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07 5 01 62530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Оформление и выдача карт маршрута регулярных перевозок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07 5 01 62540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Оформление, выдача свидетельств об осуществлении перевозок по маршруту регулярных перевозок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01 62550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регистрации прав собственности на автомобильные дороги местного значения, объекты дорожного хозяйства на границах города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07 5 01 62560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техники для содержания и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автомобильных дорог местного значения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«Развитие транспортной инфраструктуры»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07 5 02 04650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07 5 02 08200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 за счет средств некоммерческой организации «Фонд развития моногородов»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07 5 02 54200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07 5 02 60140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195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Строительство, приобретение и реконструкция объектов муниципальной собственности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02 62530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07 5 02 62540</w:t>
            </w:r>
          </w:p>
        </w:tc>
        <w:tc>
          <w:tcPr>
            <w:tcW w:w="7621" w:type="dxa"/>
            <w:shd w:val="clear" w:color="auto" w:fill="auto"/>
          </w:tcPr>
          <w:p w:rsidR="00E13CDA" w:rsidRPr="00021A52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21A5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07 5 02 62550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программы комплексного развития транспортной инфраструктуры города Сарапула</w:t>
            </w:r>
            <w:proofErr w:type="gramEnd"/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621EE9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S2530</w:t>
            </w:r>
          </w:p>
        </w:tc>
        <w:tc>
          <w:tcPr>
            <w:tcW w:w="7621" w:type="dxa"/>
            <w:shd w:val="clear" w:color="auto" w:fill="auto"/>
          </w:tcPr>
          <w:p w:rsidR="00E13CDA" w:rsidRPr="00621EE9" w:rsidRDefault="00E13CDA" w:rsidP="0038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E13CDA" w:rsidRPr="009828BA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38545C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982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E13CDA" w:rsidRPr="009828BA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9828B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S8000</w:t>
            </w:r>
          </w:p>
        </w:tc>
        <w:tc>
          <w:tcPr>
            <w:tcW w:w="7621" w:type="dxa"/>
            <w:shd w:val="clear" w:color="auto" w:fill="auto"/>
          </w:tcPr>
          <w:p w:rsidR="00E13CDA" w:rsidRPr="009828BA" w:rsidRDefault="00E13CDA" w:rsidP="00982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R1 53930</w:t>
            </w:r>
          </w:p>
        </w:tc>
        <w:tc>
          <w:tcPr>
            <w:tcW w:w="7621" w:type="dxa"/>
            <w:shd w:val="clear" w:color="auto" w:fill="auto"/>
          </w:tcPr>
          <w:p w:rsidR="00E13CDA" w:rsidRP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07 6 00 00000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«Формирование современной городской среды на территории муниципального образования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07 6 01 00000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сфере формирования современной городской среды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07 6 01 75552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дворовых территорий многоквартирных домов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553D9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07 6 01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L5551</w:t>
            </w:r>
          </w:p>
        </w:tc>
        <w:tc>
          <w:tcPr>
            <w:tcW w:w="7621" w:type="dxa"/>
            <w:shd w:val="clear" w:color="auto" w:fill="auto"/>
          </w:tcPr>
          <w:p w:rsidR="00E13CDA" w:rsidRPr="00A553D9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муниципальных территорий общего пользования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553D9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6 01 L5552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дворовых территорий многоквартирных домов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 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08 0 01 00000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«Внедрение энергоменеджмента»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08 0 01 05770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электрической, тепловой энергии, воды и водоотведения,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газоснабжения,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организации постановки в установленном порядке таких объектов на учет в качестве бесхозяйных, признанию права муниципальной собственности и организация управления такими с момента их выявления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01 62600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электрической, тепловой энергии, воды и водоотведения,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газоснабжения,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организации постановки в установленном порядке таких объектов на учет в качестве бесхозяйных, признанию права муниципальной собственности и организация управления такими с момента их выявления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93FF4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учет и признанию права муниципальной собственности на них, а также по организации управления такими с момента их выявления, в том числе по определению источников компенсации, возникающих при эксплуатации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F80430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4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08 0 03 00000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4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восстановлению и устройству сетей уличного освещения»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08 0 03 05770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Восстановление и устройство сетей уличного освещения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03 62620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Восстановление и устройство сетей уличного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освещения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918C0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S2620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Восстановление и устройство сетей уличного освещения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«Муниципальное управление»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«Административная реформа в муниципальном образовании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«Снижение административных барьеров в муниципальном образовании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09 1 02 65000</w:t>
            </w:r>
          </w:p>
        </w:tc>
        <w:tc>
          <w:tcPr>
            <w:tcW w:w="7621" w:type="dxa"/>
            <w:shd w:val="clear" w:color="auto" w:fill="auto"/>
          </w:tcPr>
          <w:p w:rsidR="00E13CDA" w:rsidRPr="00021A52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сертификата ключа ЭЦП и его регистрация в системе межведомственного электронного взаимодействия для должностного лица ОМСУ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«Архивное дело»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хранения, учета, комплектования и использования документов Архивного фонда Удмуртской Республики и других архивных документов»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09 2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01 04360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хранения, учета, комплектования и использования документов Архивного фонда Удмуртской Республики и других архивных документов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относящихся к собственности Удмуртской Республики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01 65010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хранения, учета, комплектования и использования документов Архивного фонда Удмуртской Республики и других архивных документов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относящихся муниципальной собственности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условий для государственной регистрации актов гражданского состояния»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«Государственная регистрация актов гражданского состояния»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tcBorders>
              <w:bottom w:val="nil"/>
            </w:tcBorders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01 59300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Выполнение   функций   по   государственной   регистрации   актов  гражданского 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tcBorders>
              <w:top w:val="nil"/>
            </w:tcBorders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nil"/>
            </w:tcBorders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состояния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«Противодействие коррупции в муниципальном образовании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09 4 02 00000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«Внедрение антикоррупционных механизмов в рамках реализации кадровой политики в органах местного самоуправления г.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6502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квалификации муниципальных служащих по вопросам противодействия коррупции, а также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09 5 00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муниципальной службы в муниципальном образовании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09 5 02 00000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«Совершенствование системы управления муниципальной службой»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02 65030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Совершенствование работы аттестационной комиссии, конкурсной комиссии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09 5 03 00000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«Профессиональное развитие и подготовка муниципальных служащих органов местного самоуправления г.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03 65040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обучения муниципальных служащих по программам профессионального образования, профессиональной переподготовки, повышения квалификации, а также участия в семинарах, форумах, кратковременных учебах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условий для реализации программы»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Администрации города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09 6 01 60030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Содержание аппарата Администрации города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09 6 01 60200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09 6 01 60240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09 6 02 00000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Главы муниципального образования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09 6 02 60010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Главы города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09 6 03 00000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муниципальных функций, связанных с общегосударственным управлением»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03 60110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общегосударственных и общегородских мероприятий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03 65050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Публикация в средствах массовой информации муниципальных правовых актов, принятых Администрацией города Сарапула, освещение деятельности Администрации города Сарапула в эфире телеканалов, радиоэфире, печатных СМИ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03 65060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ассоциациях и союзах муниципальных образований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09 6 04 00000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Закона Удмуртской Республики от 17.04.2007 г. №53-РЗ «Об административных комиссиях в Удмуртской Республике»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09 6 04 04510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и организация деятельности административных комиссий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09 6 05 00000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ст.10 Закона от 24.10.2008 г. №43-РЗ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 и ст.14,15 Закона УР от 20.03.2008 г. №10-РЗ «О муниципальной службе в Удмуртской Республике»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09 6 05 61710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Пенсионное обеспечение муниципальных служащих муниципального образования «Город Сарапул», пенсионное обеспечение депутатов Сарапульской городской Думы, осуществляющих свои полномочия на постоянной основе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09 6 06 00000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информационной открытости органов местного самоуправления и муниципальных учреждений г.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06 65070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работоспособности официального сайта муниципального образования «Город Сарапул» для представления актуальной информации о работе ОМС г. Сарапула и приема обращений граждан в электронном виде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tcBorders>
              <w:bottom w:val="nil"/>
            </w:tcBorders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09 6 07 00000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функционирования информационно – коммуникационной структуры органов местного самоуправления города Сарапула, своевременная модернизация структурированных кабельных систем (СКС) для автоматизации процессов исполнения функций и оказания муниципальных и переданных государственных услуг»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tcBorders>
              <w:bottom w:val="nil"/>
            </w:tcBorders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09 6 07 65080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работоспособности и своевременной модернизации структурированных кабельных систем (СКС), АРМ, серверов органов местного самоуправления города Сарапула для автоматизации процессов исполнения функций и оказания муниципальных и переданных им услуг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tcBorders>
              <w:bottom w:val="nil"/>
            </w:tcBorders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09 6 09 00000</w:t>
            </w:r>
          </w:p>
        </w:tc>
        <w:tc>
          <w:tcPr>
            <w:tcW w:w="7621" w:type="dxa"/>
            <w:tcBorders>
              <w:bottom w:val="nil"/>
            </w:tcBorders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«Подготовка доклада Главы города Сарапула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(в соответствии с Указом Президента Российской Федерации от 28.04.2008 г. №607,  постановлением  Правительства  Российской  Федерации  от  17.12.2012 г. </w:t>
            </w:r>
            <w:proofErr w:type="gramEnd"/>
          </w:p>
        </w:tc>
      </w:tr>
      <w:tr w:rsidR="00E13CDA" w:rsidRPr="00A148FD" w:rsidTr="008D3A34">
        <w:trPr>
          <w:cantSplit/>
        </w:trPr>
        <w:tc>
          <w:tcPr>
            <w:tcW w:w="1735" w:type="dxa"/>
            <w:tcBorders>
              <w:top w:val="nil"/>
            </w:tcBorders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nil"/>
            </w:tcBorders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№1317, постановлением Правительства Удмуртской Республики от 11.02.2013 г. №52, распоряжением Администрации города Сарапула от 02.04.2013 г.)»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09 65100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социологических исследований с целью мониторинга удовлетворенности населения деятельностью местного самоуправления города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«Управление муниципальными финансами муниципального образования «Город Сарапул»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«Организация бюджетного процесса в городе Сарапуле»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«Управление муниципальным долгом»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10 1 06 60070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10 1 07 00000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выполнения других обязательств МО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10 1 07 63500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условно утвержденных расходов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10 1 08 00000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реализации муниципальной программы»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08 60030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установленных полномочий (функций) Управлением финансов          г.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08 60200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«Повышение эффективности расходов бюджета города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10 2 04 00000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«Повышение эффективности деятельности органов местного самоуправления и муниципальных учреждений города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04 62700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мониторинга и оценки качества финансового менеджмента главных распорядителей средств бюджета города Сарапул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а, применение результатов оценки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10 2 05 00000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«Развитие информационных систем, используемых для управления муниципальными финансами»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10 2 05 62900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и замена технических средств для установки программного обеспечения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10 2 07 00000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работы органов местного самоуправления по повышению эффективности бюджетных расходов»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10 2 07 62800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Материальное стимулирование участников подпрограммы повышения эффективности расходов, плана по увеличению доходов и сокращению муниципального долга бюджета города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10 2 0762910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Материальное стимулирование участников подпрограммы повышения эффективности расходов, плана по увеличению доходов и сокращению муниципального долга бюджета города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«Управление муниципальным имуществом»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11 1 00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муниципальным имуществом»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11 1 02 00000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«Повышение эффективности и прозрачности передачи имущества г. Сарапула в пользование (хозяйственное ведение, оперативное управление, аренда и пр.), а также иное вовлечение в хозяйственный оборот неиспользуемых или используемых не по назначению объектов недвижимости, находящихся в собственности г.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02 64010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открытых торгов по заключению договоров аренды в отношении муниципального имущества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02 64020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Приватизация муниципального имущества (за исключением земельных ресурсов)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11 1 03 00000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«Бюджетный учет имущества казны г.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03 64030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имуществом казны г.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11 1 04 00000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«Ведение реестра объектов муниципальной собственности г.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04 64040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Государственная регистрация права собственности г. Сарапула на объекты недвижимого имущества (за исключением земельных ресурсов)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земельными ресурсами»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11 2 03 00000</w:t>
            </w:r>
          </w:p>
        </w:tc>
        <w:tc>
          <w:tcPr>
            <w:tcW w:w="7621" w:type="dxa"/>
            <w:shd w:val="clear" w:color="auto" w:fill="auto"/>
          </w:tcPr>
          <w:p w:rsidR="00E13CDA" w:rsidRPr="00021A52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«Управление земельными ресурсами, находящимися в неразграниченной государственной собственности или в муниципальной собственности»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03 62020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землеустройства (образования новых и упорядочения существующих объектов землеустройства, установления их границ на местности, изменение их границ на местности, изменение границ объектов землеустройства, предоставление и изъятие земельных участков и т.д.), оценка рыночной стоимости земельных участков и права на заключение договоров аренды земельных участков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11 2 04 00000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«Проведение работ по формированию земельных участков, постановке их на государственный учет»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11 2 04 05040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индивидуального жилищного строительства, в том числе подлежащих предоставлению гражданам в соответствии с законодательством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04 62030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участков, на которых расположены многоквартирные дома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04 62040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 работ  по  формированию  земельных  участков  для индивидуального жилищного строительства, в том числе подлежащих предоставлению бесплатно гражданам в соответствии с законодательством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04 62050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строительства и для целей, не связанных со строительством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B13AD8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11 2 04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индивидуального жилищного строительства, в том числе подлежащих предоставлению бесплатно гражданам в соответствие с законодательством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условий для управления муниципальным имуществом»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11 3 01 00000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Управлением имущественных отношений г.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01 60030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Управления имущественных отношений г.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11 3 01 60200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«Безопасность муниципального образования «Город Сарапул» на 2015-2021 годы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12 1 00 00000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«Безопасный город»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12 1 02 00000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работы аппаратно – программного комплекса «Безопасный город»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12 1 02 63110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сегментов аппаратно – программного комплекса «Безопасный город»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12 2 00 00000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«Профилактика правонарушений»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12 2 02 00000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«Оказание поддержки гражданам и их объединениям, участвующим в охране общественного порядка, в соответствии с Федеральным законом Российской Федерации от 2 апреля 2014 года №44-ФЗ «Об участии граждан в охране общественного порядка»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12 2 02 07480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12 2 02 61790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12 2 03 00000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охраны общественного порядка на территории города Сарапула»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12 2 03 60200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12 2 03 63100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охраны общественного порядка на территории города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«Формирование современной городской среды» на 2018-2022 годы</w:t>
            </w:r>
            <w:bookmarkStart w:id="0" w:name="_GoBack"/>
            <w:bookmarkEnd w:id="0"/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13 0 01 00000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мероприятий в сфере формирования современной городской среды»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13 0 01 65550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13 0 01 75550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3C4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081CD0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81CD0" w:rsidRPr="00081CD0" w:rsidRDefault="00081CD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F2 55550</w:t>
            </w:r>
          </w:p>
        </w:tc>
        <w:tc>
          <w:tcPr>
            <w:tcW w:w="7621" w:type="dxa"/>
            <w:shd w:val="clear" w:color="auto" w:fill="auto"/>
          </w:tcPr>
          <w:p w:rsidR="00081CD0" w:rsidRDefault="00081CD0" w:rsidP="003C4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374E16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L5550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3C4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F80430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L5551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мероприятий по выполнению работ по благоустройству общественных территорий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F80430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13 0 01 L5552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мероприятий по выполнению работ по благоустройству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00 05720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мероприятий реестра наказов избирателей г.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99 0 00 07850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резерва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00 51200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00 60030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установленных полномочий (функций) аппарата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Сарапульской городской Думы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00 60040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установленных полномочий (функций) депутатов представительного органа муниципального образования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99 0 00 60050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1F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в области лесоустройства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99 0 00 60060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99 0 00 66070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проведения референдумов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00 60080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Резервный фонд Администрации города Сарапула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99 0 00 60190</w:t>
            </w:r>
          </w:p>
        </w:tc>
        <w:tc>
          <w:tcPr>
            <w:tcW w:w="7621" w:type="dxa"/>
            <w:shd w:val="clear" w:color="auto" w:fill="auto"/>
          </w:tcPr>
          <w:p w:rsidR="00E13CDA" w:rsidRPr="00021A52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21A5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резерва, связанного с особенностями исполнения бюджета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99 0 00 60200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99 0 00 60240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00 61740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37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Выполнение публичных обязательств по выплате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вознаграждения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Почетным гражданам города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00 62800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мероприятий реестра наказов избирателей г. Сарапула</w:t>
            </w:r>
          </w:p>
        </w:tc>
      </w:tr>
      <w:tr w:rsidR="00E13CDA" w:rsidRPr="00A148FD" w:rsidTr="008D3A34">
        <w:trPr>
          <w:cantSplit/>
          <w:trHeight w:val="272"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00 66010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юридическим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лицам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(за исключением субсидий муниципальным учреждениям) на возмещение недополученных доходов в связи с производством товаров, выполнением работ, оказанием услуг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00 66020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функций заказчика по строительству, реконструкции и капитальному ремонту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00 66040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Исполнение судебных актов, предусматривающих обращение взыскания на средства бюджета муниципального образования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00 66050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оплату судебных издержек; выплаты, связанные с исполнением судебных актов, предусматривающих обращение взыскания на средства бюджета города Сарапула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мировых соглашений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Pr="00A148FD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99 0 00 66060</w:t>
            </w:r>
          </w:p>
        </w:tc>
        <w:tc>
          <w:tcPr>
            <w:tcW w:w="7621" w:type="dxa"/>
            <w:shd w:val="clear" w:color="auto" w:fill="auto"/>
          </w:tcPr>
          <w:p w:rsidR="00E13CDA" w:rsidRPr="00A148FD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Разработка стратегии муниципального образования «Город Сарапул»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99 0 00 66080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055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Поддержка проектов местных инициатив на территории города Сарапула 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99 0 00 66090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Модернизация объектов коммунального хозяйства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Поощрительные выплаты по итогам оценки эффективности деятельности органов местного самоуправления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99 0 00 73300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за счет безвозмездных поступлений от физических и юридических лиц, имеющих целевое назначение</w:t>
            </w:r>
          </w:p>
        </w:tc>
      </w:tr>
      <w:tr w:rsidR="00E13CDA" w:rsidRPr="00A148FD" w:rsidTr="008D3A3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E13CDA" w:rsidRDefault="00E13CDA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99 0 00 76080</w:t>
            </w:r>
          </w:p>
        </w:tc>
        <w:tc>
          <w:tcPr>
            <w:tcW w:w="7621" w:type="dxa"/>
            <w:shd w:val="clear" w:color="auto" w:fill="auto"/>
          </w:tcPr>
          <w:p w:rsidR="00E13CDA" w:rsidRDefault="00E13CDA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Поддержка проектов местных инициатив на территории города Сарапула</w:t>
            </w:r>
          </w:p>
        </w:tc>
      </w:tr>
    </w:tbl>
    <w:p w:rsidR="00654F78" w:rsidRPr="002D2F4E" w:rsidRDefault="00654F78" w:rsidP="002D2F4E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01AD" w:rsidRDefault="004D01AD" w:rsidP="00F16872">
      <w:pPr>
        <w:tabs>
          <w:tab w:val="left" w:pos="567"/>
          <w:tab w:val="left" w:pos="1418"/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D01AD" w:rsidSect="007F0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0A31"/>
    <w:rsid w:val="0000292A"/>
    <w:rsid w:val="00003848"/>
    <w:rsid w:val="00016D49"/>
    <w:rsid w:val="0001729B"/>
    <w:rsid w:val="00021A52"/>
    <w:rsid w:val="00030636"/>
    <w:rsid w:val="00034C5E"/>
    <w:rsid w:val="00040081"/>
    <w:rsid w:val="000413FE"/>
    <w:rsid w:val="0004163B"/>
    <w:rsid w:val="00041884"/>
    <w:rsid w:val="000454A1"/>
    <w:rsid w:val="00045C41"/>
    <w:rsid w:val="00054E01"/>
    <w:rsid w:val="000556DB"/>
    <w:rsid w:val="00062DE3"/>
    <w:rsid w:val="00075B2C"/>
    <w:rsid w:val="00081CD0"/>
    <w:rsid w:val="00084C5E"/>
    <w:rsid w:val="00084E1F"/>
    <w:rsid w:val="00085FF1"/>
    <w:rsid w:val="0008608E"/>
    <w:rsid w:val="00090EBC"/>
    <w:rsid w:val="0009137F"/>
    <w:rsid w:val="00092DE7"/>
    <w:rsid w:val="000A3F1D"/>
    <w:rsid w:val="000A6828"/>
    <w:rsid w:val="000A6D02"/>
    <w:rsid w:val="000A7859"/>
    <w:rsid w:val="000B0A73"/>
    <w:rsid w:val="000B18F6"/>
    <w:rsid w:val="000C6ADD"/>
    <w:rsid w:val="000D14DC"/>
    <w:rsid w:val="000D5389"/>
    <w:rsid w:val="000D555D"/>
    <w:rsid w:val="000D697E"/>
    <w:rsid w:val="000D7F93"/>
    <w:rsid w:val="000E2365"/>
    <w:rsid w:val="000E2B14"/>
    <w:rsid w:val="000E4600"/>
    <w:rsid w:val="000E6A62"/>
    <w:rsid w:val="000F2D36"/>
    <w:rsid w:val="00100467"/>
    <w:rsid w:val="00101BEC"/>
    <w:rsid w:val="001034EA"/>
    <w:rsid w:val="00113954"/>
    <w:rsid w:val="00137914"/>
    <w:rsid w:val="00143E06"/>
    <w:rsid w:val="00143F97"/>
    <w:rsid w:val="00145828"/>
    <w:rsid w:val="0015181B"/>
    <w:rsid w:val="00152D8B"/>
    <w:rsid w:val="001559EE"/>
    <w:rsid w:val="00155F3A"/>
    <w:rsid w:val="001564B3"/>
    <w:rsid w:val="00161B3F"/>
    <w:rsid w:val="0016481F"/>
    <w:rsid w:val="001651D6"/>
    <w:rsid w:val="0016774E"/>
    <w:rsid w:val="00171E0B"/>
    <w:rsid w:val="001747E0"/>
    <w:rsid w:val="0018181D"/>
    <w:rsid w:val="001868F3"/>
    <w:rsid w:val="0019234E"/>
    <w:rsid w:val="0019451C"/>
    <w:rsid w:val="00195F5F"/>
    <w:rsid w:val="001969D8"/>
    <w:rsid w:val="001A2413"/>
    <w:rsid w:val="001A2DB3"/>
    <w:rsid w:val="001B0FC3"/>
    <w:rsid w:val="001B694D"/>
    <w:rsid w:val="001C0340"/>
    <w:rsid w:val="001C457A"/>
    <w:rsid w:val="001C662B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4F27"/>
    <w:rsid w:val="001F66A9"/>
    <w:rsid w:val="00200D8E"/>
    <w:rsid w:val="00201110"/>
    <w:rsid w:val="00201E83"/>
    <w:rsid w:val="00204D3F"/>
    <w:rsid w:val="00211480"/>
    <w:rsid w:val="00216530"/>
    <w:rsid w:val="00216F1E"/>
    <w:rsid w:val="00217515"/>
    <w:rsid w:val="0022035D"/>
    <w:rsid w:val="00225158"/>
    <w:rsid w:val="002259A2"/>
    <w:rsid w:val="0023181A"/>
    <w:rsid w:val="00232603"/>
    <w:rsid w:val="00232A0F"/>
    <w:rsid w:val="00233C5A"/>
    <w:rsid w:val="00234169"/>
    <w:rsid w:val="00240944"/>
    <w:rsid w:val="00247153"/>
    <w:rsid w:val="00252804"/>
    <w:rsid w:val="00252C38"/>
    <w:rsid w:val="00253104"/>
    <w:rsid w:val="0025778A"/>
    <w:rsid w:val="00260756"/>
    <w:rsid w:val="002661FA"/>
    <w:rsid w:val="002750FA"/>
    <w:rsid w:val="00276E5B"/>
    <w:rsid w:val="002812AD"/>
    <w:rsid w:val="002A2D9A"/>
    <w:rsid w:val="002A62DC"/>
    <w:rsid w:val="002A64B9"/>
    <w:rsid w:val="002B67DC"/>
    <w:rsid w:val="002C1382"/>
    <w:rsid w:val="002C1A12"/>
    <w:rsid w:val="002C3599"/>
    <w:rsid w:val="002C5B3D"/>
    <w:rsid w:val="002C5C57"/>
    <w:rsid w:val="002C5C89"/>
    <w:rsid w:val="002C5E68"/>
    <w:rsid w:val="002D2F4E"/>
    <w:rsid w:val="002D40B2"/>
    <w:rsid w:val="002E00A0"/>
    <w:rsid w:val="002E7BC9"/>
    <w:rsid w:val="002F543A"/>
    <w:rsid w:val="003068CF"/>
    <w:rsid w:val="003072AF"/>
    <w:rsid w:val="003072E1"/>
    <w:rsid w:val="003076E4"/>
    <w:rsid w:val="00307D34"/>
    <w:rsid w:val="00310E8D"/>
    <w:rsid w:val="00312376"/>
    <w:rsid w:val="0031485A"/>
    <w:rsid w:val="00324A02"/>
    <w:rsid w:val="00331A99"/>
    <w:rsid w:val="00340445"/>
    <w:rsid w:val="00342AE0"/>
    <w:rsid w:val="0034371B"/>
    <w:rsid w:val="003462CD"/>
    <w:rsid w:val="003541AD"/>
    <w:rsid w:val="00356516"/>
    <w:rsid w:val="00363EAF"/>
    <w:rsid w:val="00370342"/>
    <w:rsid w:val="00370B86"/>
    <w:rsid w:val="00370BDE"/>
    <w:rsid w:val="0037205D"/>
    <w:rsid w:val="00372ADC"/>
    <w:rsid w:val="00372EB7"/>
    <w:rsid w:val="003747B4"/>
    <w:rsid w:val="00374E16"/>
    <w:rsid w:val="0038545C"/>
    <w:rsid w:val="00391B9A"/>
    <w:rsid w:val="00393C03"/>
    <w:rsid w:val="00394268"/>
    <w:rsid w:val="00394532"/>
    <w:rsid w:val="003A5966"/>
    <w:rsid w:val="003A7058"/>
    <w:rsid w:val="003B0FC9"/>
    <w:rsid w:val="003B14F1"/>
    <w:rsid w:val="003B74ED"/>
    <w:rsid w:val="003C03AC"/>
    <w:rsid w:val="003C4979"/>
    <w:rsid w:val="003C4EBF"/>
    <w:rsid w:val="003C6701"/>
    <w:rsid w:val="003D26DB"/>
    <w:rsid w:val="003D7D77"/>
    <w:rsid w:val="003E26C9"/>
    <w:rsid w:val="003E65F0"/>
    <w:rsid w:val="003E7F9A"/>
    <w:rsid w:val="003F0EDF"/>
    <w:rsid w:val="00401E3F"/>
    <w:rsid w:val="00402838"/>
    <w:rsid w:val="004070EE"/>
    <w:rsid w:val="00411374"/>
    <w:rsid w:val="00412B2A"/>
    <w:rsid w:val="004140D3"/>
    <w:rsid w:val="004146CB"/>
    <w:rsid w:val="004149E0"/>
    <w:rsid w:val="00415EF0"/>
    <w:rsid w:val="0041610E"/>
    <w:rsid w:val="00420492"/>
    <w:rsid w:val="00421D43"/>
    <w:rsid w:val="00430D08"/>
    <w:rsid w:val="00432665"/>
    <w:rsid w:val="00432970"/>
    <w:rsid w:val="0043404D"/>
    <w:rsid w:val="00447EA7"/>
    <w:rsid w:val="004510D5"/>
    <w:rsid w:val="00452B5D"/>
    <w:rsid w:val="00475990"/>
    <w:rsid w:val="004832B4"/>
    <w:rsid w:val="004A006E"/>
    <w:rsid w:val="004A1359"/>
    <w:rsid w:val="004A1B66"/>
    <w:rsid w:val="004A1BD1"/>
    <w:rsid w:val="004A1DAB"/>
    <w:rsid w:val="004A20D1"/>
    <w:rsid w:val="004B00D7"/>
    <w:rsid w:val="004B0764"/>
    <w:rsid w:val="004B13F9"/>
    <w:rsid w:val="004B73FD"/>
    <w:rsid w:val="004C15B6"/>
    <w:rsid w:val="004C2D8A"/>
    <w:rsid w:val="004C3D94"/>
    <w:rsid w:val="004C5A27"/>
    <w:rsid w:val="004D01AD"/>
    <w:rsid w:val="004D7EA6"/>
    <w:rsid w:val="004E1FCD"/>
    <w:rsid w:val="004E2B9E"/>
    <w:rsid w:val="004E7965"/>
    <w:rsid w:val="004F0953"/>
    <w:rsid w:val="004F21C0"/>
    <w:rsid w:val="004F5E48"/>
    <w:rsid w:val="004F6935"/>
    <w:rsid w:val="00502F86"/>
    <w:rsid w:val="00504AE0"/>
    <w:rsid w:val="00511424"/>
    <w:rsid w:val="00512023"/>
    <w:rsid w:val="00514AFA"/>
    <w:rsid w:val="005173BA"/>
    <w:rsid w:val="00520382"/>
    <w:rsid w:val="00521F97"/>
    <w:rsid w:val="00524F80"/>
    <w:rsid w:val="00526016"/>
    <w:rsid w:val="00530233"/>
    <w:rsid w:val="00535985"/>
    <w:rsid w:val="00542E72"/>
    <w:rsid w:val="0054496E"/>
    <w:rsid w:val="00544E4D"/>
    <w:rsid w:val="0054712D"/>
    <w:rsid w:val="005475AB"/>
    <w:rsid w:val="00547FE9"/>
    <w:rsid w:val="00551FF1"/>
    <w:rsid w:val="005524EC"/>
    <w:rsid w:val="0055290D"/>
    <w:rsid w:val="005560BC"/>
    <w:rsid w:val="00556D7F"/>
    <w:rsid w:val="005633D0"/>
    <w:rsid w:val="00564D58"/>
    <w:rsid w:val="00565BF1"/>
    <w:rsid w:val="00571266"/>
    <w:rsid w:val="0057683B"/>
    <w:rsid w:val="00583901"/>
    <w:rsid w:val="0058478E"/>
    <w:rsid w:val="00587F16"/>
    <w:rsid w:val="005908D1"/>
    <w:rsid w:val="00592780"/>
    <w:rsid w:val="005A0A64"/>
    <w:rsid w:val="005A732C"/>
    <w:rsid w:val="005B08BF"/>
    <w:rsid w:val="005B2114"/>
    <w:rsid w:val="005B2189"/>
    <w:rsid w:val="005B2853"/>
    <w:rsid w:val="005B300B"/>
    <w:rsid w:val="005B7C92"/>
    <w:rsid w:val="005B7CC9"/>
    <w:rsid w:val="005C24D7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58CD"/>
    <w:rsid w:val="005E65D3"/>
    <w:rsid w:val="005F17F9"/>
    <w:rsid w:val="005F4B16"/>
    <w:rsid w:val="00600650"/>
    <w:rsid w:val="0061509C"/>
    <w:rsid w:val="006179C6"/>
    <w:rsid w:val="006363B3"/>
    <w:rsid w:val="00636BC7"/>
    <w:rsid w:val="006371E9"/>
    <w:rsid w:val="00637C7C"/>
    <w:rsid w:val="00641895"/>
    <w:rsid w:val="00641A57"/>
    <w:rsid w:val="006532E8"/>
    <w:rsid w:val="00654F78"/>
    <w:rsid w:val="00656090"/>
    <w:rsid w:val="0066342E"/>
    <w:rsid w:val="00663937"/>
    <w:rsid w:val="00663FE9"/>
    <w:rsid w:val="00664B58"/>
    <w:rsid w:val="006672A3"/>
    <w:rsid w:val="00667507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2FCC"/>
    <w:rsid w:val="006D3D27"/>
    <w:rsid w:val="006D6829"/>
    <w:rsid w:val="006E2BBD"/>
    <w:rsid w:val="006E4B1F"/>
    <w:rsid w:val="006E4D5A"/>
    <w:rsid w:val="006E76C7"/>
    <w:rsid w:val="007006BA"/>
    <w:rsid w:val="00707E9D"/>
    <w:rsid w:val="00711EB3"/>
    <w:rsid w:val="00713113"/>
    <w:rsid w:val="00714E9A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051C"/>
    <w:rsid w:val="007572AC"/>
    <w:rsid w:val="007650AF"/>
    <w:rsid w:val="00766112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E36"/>
    <w:rsid w:val="007B6C26"/>
    <w:rsid w:val="007B6CE5"/>
    <w:rsid w:val="007D3902"/>
    <w:rsid w:val="007D574D"/>
    <w:rsid w:val="007D5DA0"/>
    <w:rsid w:val="007E782D"/>
    <w:rsid w:val="007F008C"/>
    <w:rsid w:val="00800360"/>
    <w:rsid w:val="0080045D"/>
    <w:rsid w:val="008018AE"/>
    <w:rsid w:val="00803798"/>
    <w:rsid w:val="00803836"/>
    <w:rsid w:val="00806B74"/>
    <w:rsid w:val="00807222"/>
    <w:rsid w:val="00813190"/>
    <w:rsid w:val="008233F1"/>
    <w:rsid w:val="00824070"/>
    <w:rsid w:val="0082466C"/>
    <w:rsid w:val="0083287D"/>
    <w:rsid w:val="00840727"/>
    <w:rsid w:val="008420D6"/>
    <w:rsid w:val="00842E4D"/>
    <w:rsid w:val="00845721"/>
    <w:rsid w:val="00846FB3"/>
    <w:rsid w:val="00855DD7"/>
    <w:rsid w:val="00861D24"/>
    <w:rsid w:val="00866649"/>
    <w:rsid w:val="00875778"/>
    <w:rsid w:val="008766E3"/>
    <w:rsid w:val="00876852"/>
    <w:rsid w:val="008902CB"/>
    <w:rsid w:val="00890D27"/>
    <w:rsid w:val="008922CC"/>
    <w:rsid w:val="0089312A"/>
    <w:rsid w:val="00896C7A"/>
    <w:rsid w:val="008A030A"/>
    <w:rsid w:val="008A0920"/>
    <w:rsid w:val="008A1394"/>
    <w:rsid w:val="008A68BC"/>
    <w:rsid w:val="008B3019"/>
    <w:rsid w:val="008B7DA9"/>
    <w:rsid w:val="008C331A"/>
    <w:rsid w:val="008C4D75"/>
    <w:rsid w:val="008C6DF3"/>
    <w:rsid w:val="008D3A34"/>
    <w:rsid w:val="008D3FD8"/>
    <w:rsid w:val="008D45F6"/>
    <w:rsid w:val="008D4728"/>
    <w:rsid w:val="008E03A2"/>
    <w:rsid w:val="008E4548"/>
    <w:rsid w:val="008E55C7"/>
    <w:rsid w:val="008E58CA"/>
    <w:rsid w:val="008E5ECF"/>
    <w:rsid w:val="008F34A1"/>
    <w:rsid w:val="00903191"/>
    <w:rsid w:val="00904224"/>
    <w:rsid w:val="00905454"/>
    <w:rsid w:val="00910BEA"/>
    <w:rsid w:val="00914CC4"/>
    <w:rsid w:val="00915A41"/>
    <w:rsid w:val="00920B19"/>
    <w:rsid w:val="00921080"/>
    <w:rsid w:val="00923031"/>
    <w:rsid w:val="00926F39"/>
    <w:rsid w:val="00927034"/>
    <w:rsid w:val="009279B6"/>
    <w:rsid w:val="00931DAC"/>
    <w:rsid w:val="00932153"/>
    <w:rsid w:val="0093365E"/>
    <w:rsid w:val="00935005"/>
    <w:rsid w:val="00937C69"/>
    <w:rsid w:val="00937D89"/>
    <w:rsid w:val="009421E0"/>
    <w:rsid w:val="00946375"/>
    <w:rsid w:val="00953E82"/>
    <w:rsid w:val="00955A96"/>
    <w:rsid w:val="00956523"/>
    <w:rsid w:val="0095774D"/>
    <w:rsid w:val="00957D11"/>
    <w:rsid w:val="00962F85"/>
    <w:rsid w:val="009707E4"/>
    <w:rsid w:val="009828BA"/>
    <w:rsid w:val="009860C5"/>
    <w:rsid w:val="0098627F"/>
    <w:rsid w:val="009900F5"/>
    <w:rsid w:val="00990477"/>
    <w:rsid w:val="009975D4"/>
    <w:rsid w:val="009A280D"/>
    <w:rsid w:val="009A3A5D"/>
    <w:rsid w:val="009A479B"/>
    <w:rsid w:val="009A4AD5"/>
    <w:rsid w:val="009A76FA"/>
    <w:rsid w:val="009B4D65"/>
    <w:rsid w:val="009C0C5D"/>
    <w:rsid w:val="009E264B"/>
    <w:rsid w:val="009F0946"/>
    <w:rsid w:val="009F0BB8"/>
    <w:rsid w:val="009F4DDE"/>
    <w:rsid w:val="009F5E66"/>
    <w:rsid w:val="009F6392"/>
    <w:rsid w:val="009F6B49"/>
    <w:rsid w:val="009F76EB"/>
    <w:rsid w:val="00A00EF2"/>
    <w:rsid w:val="00A04C18"/>
    <w:rsid w:val="00A125D3"/>
    <w:rsid w:val="00A12890"/>
    <w:rsid w:val="00A148FD"/>
    <w:rsid w:val="00A17E6E"/>
    <w:rsid w:val="00A213F9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6668"/>
    <w:rsid w:val="00A77ADB"/>
    <w:rsid w:val="00A82F8D"/>
    <w:rsid w:val="00A84208"/>
    <w:rsid w:val="00A85BF0"/>
    <w:rsid w:val="00A918C0"/>
    <w:rsid w:val="00A938DA"/>
    <w:rsid w:val="00A93FF4"/>
    <w:rsid w:val="00AA1B1E"/>
    <w:rsid w:val="00AA52C7"/>
    <w:rsid w:val="00AB4964"/>
    <w:rsid w:val="00AB5B0C"/>
    <w:rsid w:val="00AB6127"/>
    <w:rsid w:val="00AB7EC8"/>
    <w:rsid w:val="00AD4FA0"/>
    <w:rsid w:val="00AE2814"/>
    <w:rsid w:val="00AF115B"/>
    <w:rsid w:val="00AF375F"/>
    <w:rsid w:val="00AF4E10"/>
    <w:rsid w:val="00B049E3"/>
    <w:rsid w:val="00B0527A"/>
    <w:rsid w:val="00B1097E"/>
    <w:rsid w:val="00B11CF3"/>
    <w:rsid w:val="00B1238C"/>
    <w:rsid w:val="00B12C85"/>
    <w:rsid w:val="00B13AD8"/>
    <w:rsid w:val="00B157D2"/>
    <w:rsid w:val="00B17711"/>
    <w:rsid w:val="00B17887"/>
    <w:rsid w:val="00B21547"/>
    <w:rsid w:val="00B2594E"/>
    <w:rsid w:val="00B36BB5"/>
    <w:rsid w:val="00B37095"/>
    <w:rsid w:val="00B4458C"/>
    <w:rsid w:val="00B45F2D"/>
    <w:rsid w:val="00B534FC"/>
    <w:rsid w:val="00B605CA"/>
    <w:rsid w:val="00B61CEE"/>
    <w:rsid w:val="00B63D26"/>
    <w:rsid w:val="00B75A51"/>
    <w:rsid w:val="00B76909"/>
    <w:rsid w:val="00B76C11"/>
    <w:rsid w:val="00B7762F"/>
    <w:rsid w:val="00B8527B"/>
    <w:rsid w:val="00B85734"/>
    <w:rsid w:val="00B91F44"/>
    <w:rsid w:val="00B94D8E"/>
    <w:rsid w:val="00B9524F"/>
    <w:rsid w:val="00B968D9"/>
    <w:rsid w:val="00B974E1"/>
    <w:rsid w:val="00BA1A6C"/>
    <w:rsid w:val="00BA265B"/>
    <w:rsid w:val="00BB5DCF"/>
    <w:rsid w:val="00BB6FD7"/>
    <w:rsid w:val="00BC137F"/>
    <w:rsid w:val="00BC383F"/>
    <w:rsid w:val="00BC385B"/>
    <w:rsid w:val="00BC3D4A"/>
    <w:rsid w:val="00BC7626"/>
    <w:rsid w:val="00BD0812"/>
    <w:rsid w:val="00BD1D37"/>
    <w:rsid w:val="00BD61F9"/>
    <w:rsid w:val="00BE03DB"/>
    <w:rsid w:val="00BE105E"/>
    <w:rsid w:val="00BE2E5C"/>
    <w:rsid w:val="00BE49C4"/>
    <w:rsid w:val="00C008DD"/>
    <w:rsid w:val="00C063FC"/>
    <w:rsid w:val="00C06A8C"/>
    <w:rsid w:val="00C1577F"/>
    <w:rsid w:val="00C3125A"/>
    <w:rsid w:val="00C37BFE"/>
    <w:rsid w:val="00C47ACF"/>
    <w:rsid w:val="00C53E2C"/>
    <w:rsid w:val="00C540FD"/>
    <w:rsid w:val="00C61B87"/>
    <w:rsid w:val="00C63E32"/>
    <w:rsid w:val="00C63E34"/>
    <w:rsid w:val="00C658FA"/>
    <w:rsid w:val="00C7212A"/>
    <w:rsid w:val="00C7302E"/>
    <w:rsid w:val="00C74234"/>
    <w:rsid w:val="00C90850"/>
    <w:rsid w:val="00C913CE"/>
    <w:rsid w:val="00CA47ED"/>
    <w:rsid w:val="00CA65CD"/>
    <w:rsid w:val="00CB0D4B"/>
    <w:rsid w:val="00CB712D"/>
    <w:rsid w:val="00CC347E"/>
    <w:rsid w:val="00CC6907"/>
    <w:rsid w:val="00CC722E"/>
    <w:rsid w:val="00CD1614"/>
    <w:rsid w:val="00CD3EC8"/>
    <w:rsid w:val="00CD6589"/>
    <w:rsid w:val="00CE3386"/>
    <w:rsid w:val="00CE62AC"/>
    <w:rsid w:val="00CE7CA0"/>
    <w:rsid w:val="00CF0D97"/>
    <w:rsid w:val="00CF37B6"/>
    <w:rsid w:val="00CF4D00"/>
    <w:rsid w:val="00D005B8"/>
    <w:rsid w:val="00D01FE2"/>
    <w:rsid w:val="00D15E2A"/>
    <w:rsid w:val="00D244E8"/>
    <w:rsid w:val="00D25E02"/>
    <w:rsid w:val="00D26325"/>
    <w:rsid w:val="00D30AF6"/>
    <w:rsid w:val="00D33D1A"/>
    <w:rsid w:val="00D357F8"/>
    <w:rsid w:val="00D42C88"/>
    <w:rsid w:val="00D43566"/>
    <w:rsid w:val="00D5661D"/>
    <w:rsid w:val="00D57BE3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60AC"/>
    <w:rsid w:val="00DC7994"/>
    <w:rsid w:val="00DD2894"/>
    <w:rsid w:val="00DD3C9B"/>
    <w:rsid w:val="00DF001A"/>
    <w:rsid w:val="00DF4004"/>
    <w:rsid w:val="00DF51F1"/>
    <w:rsid w:val="00DF7F90"/>
    <w:rsid w:val="00E02572"/>
    <w:rsid w:val="00E03A13"/>
    <w:rsid w:val="00E07407"/>
    <w:rsid w:val="00E10291"/>
    <w:rsid w:val="00E1130B"/>
    <w:rsid w:val="00E1385A"/>
    <w:rsid w:val="00E13CDA"/>
    <w:rsid w:val="00E1725A"/>
    <w:rsid w:val="00E17878"/>
    <w:rsid w:val="00E232B1"/>
    <w:rsid w:val="00E3224A"/>
    <w:rsid w:val="00E34A58"/>
    <w:rsid w:val="00E360D6"/>
    <w:rsid w:val="00E4028E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B2635"/>
    <w:rsid w:val="00EB4D46"/>
    <w:rsid w:val="00EC1684"/>
    <w:rsid w:val="00EC456C"/>
    <w:rsid w:val="00ED6E73"/>
    <w:rsid w:val="00EE13EC"/>
    <w:rsid w:val="00EE45E2"/>
    <w:rsid w:val="00EF04F0"/>
    <w:rsid w:val="00EF23C5"/>
    <w:rsid w:val="00EF6845"/>
    <w:rsid w:val="00F01267"/>
    <w:rsid w:val="00F04F8B"/>
    <w:rsid w:val="00F05BBF"/>
    <w:rsid w:val="00F13C23"/>
    <w:rsid w:val="00F143A4"/>
    <w:rsid w:val="00F16872"/>
    <w:rsid w:val="00F240CB"/>
    <w:rsid w:val="00F24C16"/>
    <w:rsid w:val="00F25E5A"/>
    <w:rsid w:val="00F26C44"/>
    <w:rsid w:val="00F307D1"/>
    <w:rsid w:val="00F47CB7"/>
    <w:rsid w:val="00F52964"/>
    <w:rsid w:val="00F53ECA"/>
    <w:rsid w:val="00F54827"/>
    <w:rsid w:val="00F62407"/>
    <w:rsid w:val="00F64485"/>
    <w:rsid w:val="00F70F35"/>
    <w:rsid w:val="00F71FEC"/>
    <w:rsid w:val="00F76FD2"/>
    <w:rsid w:val="00F80430"/>
    <w:rsid w:val="00F8124E"/>
    <w:rsid w:val="00F82889"/>
    <w:rsid w:val="00F86E7F"/>
    <w:rsid w:val="00F93529"/>
    <w:rsid w:val="00F937F5"/>
    <w:rsid w:val="00F94A58"/>
    <w:rsid w:val="00F9626F"/>
    <w:rsid w:val="00FA266F"/>
    <w:rsid w:val="00FA3668"/>
    <w:rsid w:val="00FA57F3"/>
    <w:rsid w:val="00FB5DA5"/>
    <w:rsid w:val="00FB6EA4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4009-9F34-4E98-A45F-73D92252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10774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2019-02-14T10:14:00Z</cp:lastPrinted>
  <dcterms:created xsi:type="dcterms:W3CDTF">2019-03-14T11:44:00Z</dcterms:created>
  <dcterms:modified xsi:type="dcterms:W3CDTF">2019-03-14T11:44:00Z</dcterms:modified>
</cp:coreProperties>
</file>